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93F10" w:rsidRPr="00B61B5F" w:rsidRDefault="00193F10" w:rsidP="005325B9">
      <w:pPr>
        <w:widowControl w:val="0"/>
        <w:jc w:val="center"/>
        <w:rPr>
          <w:sz w:val="22"/>
          <w:szCs w:val="22"/>
        </w:rPr>
      </w:pPr>
    </w:p>
    <w:p w:rsidR="00746205" w:rsidRPr="00746205" w:rsidRDefault="000636BE" w:rsidP="000636BE">
      <w:pPr>
        <w:widowControl w:val="0"/>
        <w:jc w:val="center"/>
        <w:rPr>
          <w:sz w:val="22"/>
          <w:szCs w:val="22"/>
        </w:rPr>
      </w:pPr>
      <w:r>
        <w:rPr>
          <w:noProof/>
        </w:rPr>
        <w:drawing>
          <wp:inline distT="0" distB="0" distL="0" distR="0" wp14:anchorId="32E589AB" wp14:editId="2ADF26D6">
            <wp:extent cx="1417320" cy="1417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17320" cy="1417320"/>
                    </a:xfrm>
                    <a:prstGeom prst="rect">
                      <a:avLst/>
                    </a:prstGeom>
                  </pic:spPr>
                </pic:pic>
              </a:graphicData>
            </a:graphic>
          </wp:inline>
        </w:drawing>
      </w:r>
    </w:p>
    <w:p w:rsidR="00746205" w:rsidRPr="00746205" w:rsidRDefault="00746205" w:rsidP="005325B9">
      <w:pPr>
        <w:widowControl w:val="0"/>
        <w:jc w:val="center"/>
        <w:rPr>
          <w:sz w:val="22"/>
          <w:szCs w:val="22"/>
        </w:rPr>
      </w:pPr>
    </w:p>
    <w:p w:rsidR="00193F10" w:rsidRPr="00746205" w:rsidRDefault="00193F10" w:rsidP="005325B9">
      <w:pPr>
        <w:pStyle w:val="Heading3"/>
        <w:keepNext w:val="0"/>
        <w:widowControl w:val="0"/>
        <w:spacing w:after="120"/>
        <w:rPr>
          <w:b/>
          <w:sz w:val="22"/>
          <w:szCs w:val="22"/>
        </w:rPr>
      </w:pPr>
      <w:r w:rsidRPr="00746205">
        <w:rPr>
          <w:b/>
          <w:sz w:val="22"/>
          <w:szCs w:val="22"/>
        </w:rPr>
        <w:t>TECHNICAL EVALUATION</w:t>
      </w:r>
    </w:p>
    <w:p w:rsidR="00193F10" w:rsidRPr="00746205" w:rsidRDefault="00193F10" w:rsidP="005325B9">
      <w:pPr>
        <w:widowControl w:val="0"/>
        <w:spacing w:after="120"/>
        <w:jc w:val="center"/>
        <w:rPr>
          <w:b/>
          <w:sz w:val="22"/>
          <w:szCs w:val="22"/>
        </w:rPr>
      </w:pPr>
      <w:r w:rsidRPr="00746205">
        <w:rPr>
          <w:b/>
          <w:sz w:val="22"/>
          <w:szCs w:val="22"/>
        </w:rPr>
        <w:t>&amp;</w:t>
      </w:r>
    </w:p>
    <w:p w:rsidR="00193F10" w:rsidRPr="00746205" w:rsidRDefault="00193F10" w:rsidP="005325B9">
      <w:pPr>
        <w:widowControl w:val="0"/>
        <w:spacing w:after="120"/>
        <w:jc w:val="center"/>
        <w:rPr>
          <w:b/>
          <w:sz w:val="22"/>
          <w:szCs w:val="22"/>
        </w:rPr>
      </w:pPr>
      <w:r w:rsidRPr="00746205">
        <w:rPr>
          <w:b/>
          <w:sz w:val="22"/>
          <w:szCs w:val="22"/>
        </w:rPr>
        <w:t>PRELIMINARY DETERMINATION</w:t>
      </w:r>
    </w:p>
    <w:p w:rsidR="00193F10" w:rsidRDefault="00193F10" w:rsidP="005325B9">
      <w:pPr>
        <w:widowControl w:val="0"/>
        <w:jc w:val="center"/>
        <w:rPr>
          <w:sz w:val="22"/>
          <w:szCs w:val="22"/>
        </w:rPr>
      </w:pPr>
    </w:p>
    <w:p w:rsidR="000E6707" w:rsidRDefault="000E6707" w:rsidP="005325B9">
      <w:pPr>
        <w:widowControl w:val="0"/>
        <w:jc w:val="center"/>
        <w:rPr>
          <w:sz w:val="22"/>
          <w:szCs w:val="22"/>
        </w:rPr>
      </w:pPr>
    </w:p>
    <w:p w:rsidR="000E6707" w:rsidRPr="002114F4" w:rsidRDefault="000E6707" w:rsidP="005325B9">
      <w:pPr>
        <w:widowControl w:val="0"/>
        <w:jc w:val="center"/>
        <w:rPr>
          <w:sz w:val="22"/>
          <w:szCs w:val="22"/>
        </w:rPr>
      </w:pPr>
    </w:p>
    <w:p w:rsidR="00746205" w:rsidRPr="002114F4" w:rsidRDefault="00746205" w:rsidP="005325B9">
      <w:pPr>
        <w:widowControl w:val="0"/>
        <w:jc w:val="center"/>
        <w:rPr>
          <w:sz w:val="22"/>
          <w:szCs w:val="22"/>
        </w:rPr>
      </w:pPr>
    </w:p>
    <w:p w:rsidR="00746205" w:rsidRPr="00742707" w:rsidRDefault="00746205" w:rsidP="005325B9">
      <w:pPr>
        <w:pStyle w:val="Heading4"/>
        <w:keepNext w:val="0"/>
        <w:widowControl w:val="0"/>
        <w:spacing w:after="120"/>
        <w:rPr>
          <w:bCs/>
          <w:szCs w:val="22"/>
        </w:rPr>
      </w:pPr>
      <w:r w:rsidRPr="00742707">
        <w:rPr>
          <w:bCs/>
          <w:szCs w:val="22"/>
        </w:rPr>
        <w:t>APPLICANT</w:t>
      </w:r>
    </w:p>
    <w:p w:rsidR="00746205" w:rsidRPr="00742707" w:rsidRDefault="001935E1" w:rsidP="005325B9">
      <w:pPr>
        <w:widowControl w:val="0"/>
        <w:jc w:val="center"/>
        <w:rPr>
          <w:sz w:val="22"/>
          <w:szCs w:val="22"/>
        </w:rPr>
      </w:pPr>
      <w:r w:rsidRPr="00742707">
        <w:rPr>
          <w:sz w:val="22"/>
          <w:szCs w:val="22"/>
        </w:rPr>
        <w:t>Highlands EnviroFuels, LLC</w:t>
      </w:r>
    </w:p>
    <w:p w:rsidR="000E6707" w:rsidRPr="00742707" w:rsidRDefault="001935E1" w:rsidP="005325B9">
      <w:pPr>
        <w:widowControl w:val="0"/>
        <w:jc w:val="center"/>
        <w:rPr>
          <w:sz w:val="22"/>
          <w:szCs w:val="22"/>
        </w:rPr>
      </w:pPr>
      <w:r w:rsidRPr="00742707">
        <w:rPr>
          <w:sz w:val="22"/>
          <w:szCs w:val="22"/>
        </w:rPr>
        <w:t>10027 Water Works Lane</w:t>
      </w:r>
    </w:p>
    <w:p w:rsidR="000E6707" w:rsidRPr="00742707" w:rsidRDefault="001935E1" w:rsidP="005325B9">
      <w:pPr>
        <w:widowControl w:val="0"/>
        <w:jc w:val="center"/>
        <w:rPr>
          <w:sz w:val="22"/>
          <w:szCs w:val="22"/>
        </w:rPr>
      </w:pPr>
      <w:r w:rsidRPr="00742707">
        <w:rPr>
          <w:sz w:val="22"/>
          <w:szCs w:val="22"/>
        </w:rPr>
        <w:t>Riverview, Florida 33578</w:t>
      </w:r>
    </w:p>
    <w:p w:rsidR="00746205" w:rsidRPr="00742707" w:rsidRDefault="00742707" w:rsidP="005325B9">
      <w:pPr>
        <w:widowControl w:val="0"/>
        <w:spacing w:before="120"/>
        <w:jc w:val="center"/>
        <w:rPr>
          <w:sz w:val="22"/>
          <w:szCs w:val="22"/>
        </w:rPr>
      </w:pPr>
      <w:r w:rsidRPr="00742707">
        <w:rPr>
          <w:sz w:val="22"/>
          <w:szCs w:val="22"/>
        </w:rPr>
        <w:t>Highlands EnviroFuels</w:t>
      </w:r>
    </w:p>
    <w:p w:rsidR="00746205" w:rsidRDefault="00746205" w:rsidP="005325B9">
      <w:pPr>
        <w:widowControl w:val="0"/>
        <w:jc w:val="center"/>
        <w:rPr>
          <w:sz w:val="22"/>
          <w:szCs w:val="22"/>
        </w:rPr>
      </w:pPr>
      <w:r w:rsidRPr="00742707">
        <w:rPr>
          <w:sz w:val="22"/>
          <w:szCs w:val="22"/>
        </w:rPr>
        <w:t xml:space="preserve">ARMS Facility ID No. </w:t>
      </w:r>
      <w:r w:rsidR="00742707" w:rsidRPr="00742707">
        <w:rPr>
          <w:sz w:val="22"/>
          <w:szCs w:val="22"/>
        </w:rPr>
        <w:t>0550063</w:t>
      </w:r>
    </w:p>
    <w:p w:rsidR="000E6707" w:rsidRDefault="000E6707" w:rsidP="005325B9">
      <w:pPr>
        <w:widowControl w:val="0"/>
        <w:jc w:val="center"/>
        <w:rPr>
          <w:sz w:val="22"/>
          <w:szCs w:val="22"/>
        </w:rPr>
      </w:pPr>
    </w:p>
    <w:p w:rsidR="000E6707" w:rsidRDefault="000E6707" w:rsidP="005325B9">
      <w:pPr>
        <w:widowControl w:val="0"/>
        <w:jc w:val="center"/>
        <w:rPr>
          <w:sz w:val="22"/>
          <w:szCs w:val="22"/>
        </w:rPr>
      </w:pPr>
    </w:p>
    <w:p w:rsidR="000E6707" w:rsidRPr="00746205" w:rsidRDefault="000E6707" w:rsidP="005325B9">
      <w:pPr>
        <w:widowControl w:val="0"/>
        <w:jc w:val="center"/>
        <w:rPr>
          <w:sz w:val="22"/>
          <w:szCs w:val="22"/>
        </w:rPr>
      </w:pPr>
    </w:p>
    <w:p w:rsidR="00193F10" w:rsidRDefault="00193F10" w:rsidP="005325B9">
      <w:pPr>
        <w:pStyle w:val="Heading4"/>
        <w:keepNext w:val="0"/>
        <w:widowControl w:val="0"/>
        <w:spacing w:after="120"/>
        <w:rPr>
          <w:bCs/>
          <w:szCs w:val="22"/>
        </w:rPr>
      </w:pPr>
      <w:r w:rsidRPr="00746205">
        <w:rPr>
          <w:bCs/>
          <w:szCs w:val="22"/>
        </w:rPr>
        <w:t>PROJECT</w:t>
      </w:r>
    </w:p>
    <w:p w:rsidR="00193F10" w:rsidRPr="00746205" w:rsidRDefault="00193F10" w:rsidP="00742707">
      <w:pPr>
        <w:pStyle w:val="Heading1"/>
        <w:keepNext w:val="0"/>
        <w:widowControl w:val="0"/>
        <w:spacing w:after="0"/>
        <w:ind w:left="0"/>
        <w:jc w:val="center"/>
        <w:rPr>
          <w:sz w:val="22"/>
          <w:szCs w:val="22"/>
        </w:rPr>
      </w:pPr>
      <w:r w:rsidRPr="00746205">
        <w:rPr>
          <w:sz w:val="22"/>
          <w:szCs w:val="22"/>
        </w:rPr>
        <w:t>Draft Permit No.</w:t>
      </w:r>
      <w:r w:rsidR="00F540FB">
        <w:rPr>
          <w:sz w:val="22"/>
          <w:szCs w:val="22"/>
        </w:rPr>
        <w:t xml:space="preserve"> </w:t>
      </w:r>
      <w:r w:rsidR="00742707">
        <w:rPr>
          <w:sz w:val="22"/>
          <w:szCs w:val="22"/>
        </w:rPr>
        <w:t>0550063-004-AC/PSD-FL-416A</w:t>
      </w:r>
    </w:p>
    <w:p w:rsidR="000E6707" w:rsidRDefault="00742707" w:rsidP="005325B9">
      <w:pPr>
        <w:widowControl w:val="0"/>
        <w:jc w:val="center"/>
        <w:rPr>
          <w:sz w:val="22"/>
          <w:szCs w:val="22"/>
        </w:rPr>
      </w:pPr>
      <w:r>
        <w:rPr>
          <w:sz w:val="22"/>
          <w:szCs w:val="22"/>
        </w:rPr>
        <w:t>Sugarcane/Sweet Sorghum-to-</w:t>
      </w:r>
      <w:r w:rsidRPr="00A21062">
        <w:rPr>
          <w:sz w:val="22"/>
          <w:szCs w:val="22"/>
        </w:rPr>
        <w:t xml:space="preserve">Ethanol </w:t>
      </w:r>
      <w:r>
        <w:rPr>
          <w:sz w:val="22"/>
          <w:szCs w:val="22"/>
        </w:rPr>
        <w:t>Advanced Biorefinery and Cogeneration Plant</w:t>
      </w:r>
    </w:p>
    <w:p w:rsidR="000E6707" w:rsidRPr="000E6707" w:rsidRDefault="000E6707" w:rsidP="005325B9">
      <w:pPr>
        <w:widowControl w:val="0"/>
        <w:jc w:val="center"/>
        <w:rPr>
          <w:sz w:val="22"/>
          <w:szCs w:val="22"/>
        </w:rPr>
      </w:pPr>
    </w:p>
    <w:p w:rsidR="00193F10" w:rsidRPr="000E6707" w:rsidRDefault="00193F10" w:rsidP="005325B9">
      <w:pPr>
        <w:widowControl w:val="0"/>
        <w:jc w:val="center"/>
        <w:rPr>
          <w:sz w:val="22"/>
          <w:szCs w:val="22"/>
        </w:rPr>
      </w:pPr>
    </w:p>
    <w:p w:rsidR="00193F10" w:rsidRDefault="00193F10" w:rsidP="005325B9">
      <w:pPr>
        <w:pStyle w:val="Heading4"/>
        <w:keepNext w:val="0"/>
        <w:widowControl w:val="0"/>
        <w:spacing w:after="120"/>
        <w:rPr>
          <w:bCs/>
          <w:szCs w:val="22"/>
        </w:rPr>
      </w:pPr>
      <w:r w:rsidRPr="00746205">
        <w:rPr>
          <w:bCs/>
          <w:szCs w:val="22"/>
        </w:rPr>
        <w:t>COUNTY</w:t>
      </w:r>
    </w:p>
    <w:p w:rsidR="00193F10" w:rsidRPr="00746205" w:rsidRDefault="00742707" w:rsidP="005325B9">
      <w:pPr>
        <w:widowControl w:val="0"/>
        <w:jc w:val="center"/>
        <w:rPr>
          <w:sz w:val="22"/>
          <w:szCs w:val="22"/>
        </w:rPr>
      </w:pPr>
      <w:r>
        <w:rPr>
          <w:sz w:val="22"/>
          <w:szCs w:val="22"/>
        </w:rPr>
        <w:t>Highlands</w:t>
      </w:r>
      <w:r w:rsidR="000E6707" w:rsidRPr="000E6707">
        <w:rPr>
          <w:sz w:val="22"/>
          <w:szCs w:val="22"/>
        </w:rPr>
        <w:t xml:space="preserve"> </w:t>
      </w:r>
      <w:r w:rsidR="00193F10" w:rsidRPr="000E6707">
        <w:rPr>
          <w:sz w:val="22"/>
          <w:szCs w:val="22"/>
        </w:rPr>
        <w:t>County</w:t>
      </w:r>
      <w:r w:rsidR="00730F9C">
        <w:rPr>
          <w:sz w:val="22"/>
          <w:szCs w:val="22"/>
        </w:rPr>
        <w:t>, Florida</w:t>
      </w:r>
    </w:p>
    <w:p w:rsidR="000E6707" w:rsidRDefault="000E6707" w:rsidP="005325B9">
      <w:pPr>
        <w:widowControl w:val="0"/>
        <w:jc w:val="center"/>
        <w:rPr>
          <w:sz w:val="22"/>
          <w:szCs w:val="22"/>
          <w:u w:val="single"/>
        </w:rPr>
      </w:pPr>
    </w:p>
    <w:p w:rsidR="000E6707" w:rsidRDefault="000E6707" w:rsidP="005325B9">
      <w:pPr>
        <w:widowControl w:val="0"/>
        <w:jc w:val="center"/>
        <w:rPr>
          <w:sz w:val="22"/>
          <w:szCs w:val="22"/>
          <w:u w:val="single"/>
        </w:rPr>
      </w:pPr>
    </w:p>
    <w:p w:rsidR="00746205" w:rsidRPr="00746205" w:rsidRDefault="00746205" w:rsidP="005325B9">
      <w:pPr>
        <w:widowControl w:val="0"/>
        <w:jc w:val="center"/>
        <w:rPr>
          <w:sz w:val="22"/>
          <w:szCs w:val="22"/>
        </w:rPr>
      </w:pPr>
    </w:p>
    <w:p w:rsidR="00193F10" w:rsidRPr="00746205" w:rsidRDefault="00193F10" w:rsidP="005325B9">
      <w:pPr>
        <w:pStyle w:val="Heading8"/>
        <w:keepNext w:val="0"/>
        <w:widowControl w:val="0"/>
        <w:jc w:val="center"/>
      </w:pPr>
      <w:r w:rsidRPr="00746205">
        <w:t>PERMITTING</w:t>
      </w:r>
      <w:r w:rsidR="00746205" w:rsidRPr="00746205">
        <w:t xml:space="preserve"> </w:t>
      </w:r>
      <w:r w:rsidRPr="00746205">
        <w:t>AUTHORITY</w:t>
      </w:r>
    </w:p>
    <w:p w:rsidR="00193F10" w:rsidRPr="00746205" w:rsidRDefault="00193F10" w:rsidP="005325B9">
      <w:pPr>
        <w:widowControl w:val="0"/>
        <w:jc w:val="center"/>
        <w:rPr>
          <w:sz w:val="22"/>
          <w:szCs w:val="22"/>
        </w:rPr>
      </w:pPr>
      <w:r w:rsidRPr="00746205">
        <w:rPr>
          <w:sz w:val="22"/>
          <w:szCs w:val="22"/>
        </w:rPr>
        <w:t>Florida Department of Environmental Protection</w:t>
      </w:r>
    </w:p>
    <w:p w:rsidR="00193F10" w:rsidRPr="00746205" w:rsidRDefault="00193F10" w:rsidP="005325B9">
      <w:pPr>
        <w:widowControl w:val="0"/>
        <w:jc w:val="center"/>
        <w:rPr>
          <w:sz w:val="22"/>
          <w:szCs w:val="22"/>
        </w:rPr>
      </w:pPr>
      <w:r w:rsidRPr="00746205">
        <w:rPr>
          <w:sz w:val="22"/>
          <w:szCs w:val="22"/>
        </w:rPr>
        <w:t>Division of Air Resource Management</w:t>
      </w:r>
    </w:p>
    <w:p w:rsidR="00193F10" w:rsidRPr="00746205" w:rsidRDefault="00BA5049" w:rsidP="005325B9">
      <w:pPr>
        <w:widowControl w:val="0"/>
        <w:jc w:val="center"/>
        <w:rPr>
          <w:sz w:val="22"/>
          <w:szCs w:val="22"/>
        </w:rPr>
      </w:pPr>
      <w:r>
        <w:rPr>
          <w:sz w:val="22"/>
          <w:szCs w:val="22"/>
        </w:rPr>
        <w:t>Office of Permitting and Compliance</w:t>
      </w:r>
    </w:p>
    <w:p w:rsidR="000E6707" w:rsidRDefault="000E6707" w:rsidP="005325B9">
      <w:pPr>
        <w:widowControl w:val="0"/>
        <w:jc w:val="center"/>
        <w:rPr>
          <w:sz w:val="22"/>
          <w:szCs w:val="22"/>
        </w:rPr>
      </w:pPr>
      <w:r>
        <w:rPr>
          <w:sz w:val="22"/>
          <w:szCs w:val="22"/>
        </w:rPr>
        <w:t>2600 Blair</w:t>
      </w:r>
      <w:r w:rsidR="00301492">
        <w:rPr>
          <w:sz w:val="22"/>
          <w:szCs w:val="22"/>
        </w:rPr>
        <w:t xml:space="preserve"> S</w:t>
      </w:r>
      <w:r>
        <w:rPr>
          <w:sz w:val="22"/>
          <w:szCs w:val="22"/>
        </w:rPr>
        <w:t>tone Road, MS#5505</w:t>
      </w:r>
    </w:p>
    <w:p w:rsidR="000E6707" w:rsidRDefault="000E6707" w:rsidP="005325B9">
      <w:pPr>
        <w:widowControl w:val="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w:t>
        </w:r>
        <w:proofErr w:type="gramStart"/>
        <w:r>
          <w:rPr>
            <w:sz w:val="22"/>
            <w:szCs w:val="22"/>
          </w:rPr>
          <w:t xml:space="preserve">Florida  </w:t>
        </w:r>
        <w:smartTag w:uri="urn:schemas-microsoft-com:office:smarttags" w:element="PostalCode">
          <w:r>
            <w:rPr>
              <w:sz w:val="22"/>
              <w:szCs w:val="22"/>
            </w:rPr>
            <w:t>323</w:t>
          </w:r>
          <w:r w:rsidR="004C35F8">
            <w:rPr>
              <w:sz w:val="22"/>
              <w:szCs w:val="22"/>
            </w:rPr>
            <w:t>9</w:t>
          </w:r>
          <w:r>
            <w:rPr>
              <w:sz w:val="22"/>
              <w:szCs w:val="22"/>
            </w:rPr>
            <w:t>9</w:t>
          </w:r>
          <w:proofErr w:type="gramEnd"/>
          <w:r>
            <w:rPr>
              <w:sz w:val="22"/>
              <w:szCs w:val="22"/>
            </w:rPr>
            <w:t>-2400</w:t>
          </w:r>
        </w:smartTag>
      </w:smartTag>
    </w:p>
    <w:p w:rsidR="000E6707" w:rsidRPr="00746205" w:rsidRDefault="000E6707" w:rsidP="005325B9">
      <w:pPr>
        <w:widowControl w:val="0"/>
        <w:jc w:val="center"/>
        <w:rPr>
          <w:sz w:val="22"/>
          <w:szCs w:val="22"/>
        </w:rPr>
      </w:pPr>
    </w:p>
    <w:p w:rsidR="000E6707" w:rsidRDefault="000E6707" w:rsidP="005325B9">
      <w:pPr>
        <w:widowControl w:val="0"/>
        <w:jc w:val="center"/>
        <w:rPr>
          <w:sz w:val="22"/>
          <w:szCs w:val="22"/>
        </w:rPr>
      </w:pPr>
    </w:p>
    <w:p w:rsidR="00C472AA" w:rsidRDefault="00C472AA" w:rsidP="005325B9">
      <w:pPr>
        <w:widowControl w:val="0"/>
        <w:jc w:val="center"/>
        <w:rPr>
          <w:sz w:val="22"/>
          <w:szCs w:val="22"/>
        </w:rPr>
      </w:pPr>
    </w:p>
    <w:p w:rsidR="00193F10" w:rsidRPr="00746205" w:rsidRDefault="00193F10" w:rsidP="005325B9">
      <w:pPr>
        <w:widowControl w:val="0"/>
        <w:jc w:val="center"/>
        <w:rPr>
          <w:sz w:val="22"/>
          <w:szCs w:val="22"/>
        </w:rPr>
      </w:pPr>
    </w:p>
    <w:p w:rsidR="00193F10" w:rsidRPr="00746205" w:rsidRDefault="004E318E" w:rsidP="005325B9">
      <w:pPr>
        <w:widowControl w:val="0"/>
        <w:jc w:val="center"/>
        <w:rPr>
          <w:sz w:val="22"/>
          <w:szCs w:val="22"/>
        </w:rPr>
      </w:pPr>
      <w:r>
        <w:rPr>
          <w:sz w:val="22"/>
          <w:szCs w:val="22"/>
        </w:rPr>
        <w:t xml:space="preserve">July </w:t>
      </w:r>
      <w:r w:rsidR="00396E65">
        <w:rPr>
          <w:sz w:val="22"/>
          <w:szCs w:val="22"/>
        </w:rPr>
        <w:t>12</w:t>
      </w:r>
      <w:bookmarkStart w:id="0" w:name="_GoBack"/>
      <w:bookmarkEnd w:id="0"/>
      <w:r>
        <w:rPr>
          <w:sz w:val="22"/>
          <w:szCs w:val="22"/>
        </w:rPr>
        <w:t>, 2017</w:t>
      </w:r>
    </w:p>
    <w:p w:rsidR="00193F10" w:rsidRPr="00125384" w:rsidRDefault="00193F10" w:rsidP="005325B9">
      <w:pPr>
        <w:widowControl w:val="0"/>
        <w:jc w:val="center"/>
        <w:rPr>
          <w:sz w:val="22"/>
          <w:szCs w:val="22"/>
        </w:rPr>
      </w:pPr>
    </w:p>
    <w:p w:rsidR="00193F10" w:rsidRPr="00746205" w:rsidRDefault="00193F10" w:rsidP="005325B9">
      <w:pPr>
        <w:widowControl w:val="0"/>
        <w:jc w:val="center"/>
        <w:rPr>
          <w:sz w:val="22"/>
          <w:szCs w:val="22"/>
        </w:rPr>
        <w:sectPr w:rsidR="00193F10" w:rsidRPr="00746205">
          <w:pgSz w:w="12240" w:h="15840" w:code="1"/>
          <w:pgMar w:top="720" w:right="1152" w:bottom="720" w:left="1152" w:header="720" w:footer="720" w:gutter="0"/>
          <w:paperSrc w:first="7" w:other="7"/>
          <w:pgNumType w:start="1"/>
          <w:cols w:space="720"/>
        </w:sectPr>
      </w:pPr>
    </w:p>
    <w:p w:rsidR="00193F10" w:rsidRPr="00E90AE3" w:rsidRDefault="00193F10" w:rsidP="004E318E">
      <w:pPr>
        <w:pStyle w:val="ListParagraph"/>
        <w:widowControl w:val="0"/>
        <w:numPr>
          <w:ilvl w:val="0"/>
          <w:numId w:val="15"/>
        </w:numPr>
        <w:spacing w:after="120"/>
        <w:ind w:left="720" w:hanging="720"/>
        <w:contextualSpacing w:val="0"/>
        <w:rPr>
          <w:b/>
          <w:caps/>
          <w:sz w:val="22"/>
          <w:szCs w:val="22"/>
        </w:rPr>
      </w:pPr>
      <w:r w:rsidRPr="00E90AE3">
        <w:rPr>
          <w:b/>
          <w:caps/>
          <w:sz w:val="22"/>
          <w:szCs w:val="22"/>
        </w:rPr>
        <w:lastRenderedPageBreak/>
        <w:t>General Project INFORMATION</w:t>
      </w:r>
    </w:p>
    <w:p w:rsidR="00810370" w:rsidRPr="00CF4EEA" w:rsidRDefault="00810370" w:rsidP="00CF4EEA">
      <w:pPr>
        <w:pStyle w:val="ListParagraph"/>
        <w:widowControl w:val="0"/>
        <w:numPr>
          <w:ilvl w:val="1"/>
          <w:numId w:val="15"/>
        </w:numPr>
        <w:spacing w:after="120"/>
        <w:ind w:left="720" w:hanging="720"/>
        <w:contextualSpacing w:val="0"/>
        <w:rPr>
          <w:b/>
          <w:caps/>
          <w:sz w:val="22"/>
          <w:szCs w:val="22"/>
        </w:rPr>
      </w:pPr>
      <w:r w:rsidRPr="00836ED4">
        <w:rPr>
          <w:b/>
          <w:bCs/>
          <w:sz w:val="22"/>
          <w:szCs w:val="22"/>
        </w:rPr>
        <w:t>Facility Description and Location</w:t>
      </w:r>
    </w:p>
    <w:p w:rsidR="00810370" w:rsidRDefault="00810370" w:rsidP="00810370">
      <w:pPr>
        <w:pStyle w:val="BodyText3"/>
        <w:widowControl w:val="0"/>
        <w:numPr>
          <w:ilvl w:val="12"/>
          <w:numId w:val="0"/>
        </w:numPr>
        <w:spacing w:before="0"/>
        <w:rPr>
          <w:szCs w:val="22"/>
        </w:rPr>
      </w:pPr>
      <w:r w:rsidRPr="00DA0489">
        <w:rPr>
          <w:szCs w:val="22"/>
        </w:rPr>
        <w:t xml:space="preserve">The </w:t>
      </w:r>
      <w:r>
        <w:rPr>
          <w:szCs w:val="22"/>
        </w:rPr>
        <w:t xml:space="preserve">Highlands EnviroFuels (HEF) facility is a </w:t>
      </w:r>
      <w:bookmarkStart w:id="1" w:name="_Hlk485379880"/>
      <w:r>
        <w:rPr>
          <w:szCs w:val="22"/>
        </w:rPr>
        <w:t>planned</w:t>
      </w:r>
      <w:r w:rsidRPr="00E95205">
        <w:rPr>
          <w:szCs w:val="22"/>
        </w:rPr>
        <w:t xml:space="preserve"> </w:t>
      </w:r>
      <w:r>
        <w:rPr>
          <w:szCs w:val="22"/>
        </w:rPr>
        <w:t>sugarcane- and sweet sorghum-to-ethanol advanced biorefinery with a maximum ethanol production rate of 36 million gallons per year</w:t>
      </w:r>
      <w:bookmarkEnd w:id="1"/>
      <w:r>
        <w:rPr>
          <w:szCs w:val="22"/>
        </w:rPr>
        <w:t xml:space="preserve">.  </w:t>
      </w:r>
      <w:r w:rsidRPr="00FF28EE">
        <w:rPr>
          <w:color w:val="000000" w:themeColor="text1"/>
          <w:szCs w:val="22"/>
        </w:rPr>
        <w:t xml:space="preserve">The </w:t>
      </w:r>
      <w:r>
        <w:rPr>
          <w:color w:val="000000" w:themeColor="text1"/>
          <w:szCs w:val="22"/>
        </w:rPr>
        <w:t>HEF</w:t>
      </w:r>
      <w:r w:rsidRPr="00FF28EE">
        <w:rPr>
          <w:color w:val="000000" w:themeColor="text1"/>
          <w:szCs w:val="22"/>
        </w:rPr>
        <w:t xml:space="preserve"> </w:t>
      </w:r>
      <w:r>
        <w:rPr>
          <w:color w:val="000000" w:themeColor="text1"/>
          <w:szCs w:val="22"/>
        </w:rPr>
        <w:t>f</w:t>
      </w:r>
      <w:r w:rsidRPr="00FF28EE">
        <w:rPr>
          <w:color w:val="000000" w:themeColor="text1"/>
          <w:szCs w:val="22"/>
        </w:rPr>
        <w:t xml:space="preserve">acility will be </w:t>
      </w:r>
      <w:r>
        <w:rPr>
          <w:color w:val="000000" w:themeColor="text1"/>
          <w:szCs w:val="22"/>
        </w:rPr>
        <w:t xml:space="preserve">located approximately 0.5 miles </w:t>
      </w:r>
      <w:r w:rsidRPr="00816E2C">
        <w:rPr>
          <w:color w:val="000000" w:themeColor="text1"/>
          <w:szCs w:val="22"/>
        </w:rPr>
        <w:t xml:space="preserve">southwest of the intersection of U.S. </w:t>
      </w:r>
      <w:r>
        <w:rPr>
          <w:color w:val="000000" w:themeColor="text1"/>
          <w:szCs w:val="22"/>
        </w:rPr>
        <w:t xml:space="preserve">Highway </w:t>
      </w:r>
      <w:r w:rsidRPr="00816E2C">
        <w:rPr>
          <w:color w:val="000000" w:themeColor="text1"/>
          <w:szCs w:val="22"/>
        </w:rPr>
        <w:t xml:space="preserve">27 and </w:t>
      </w:r>
      <w:r>
        <w:rPr>
          <w:color w:val="000000" w:themeColor="text1"/>
          <w:szCs w:val="22"/>
        </w:rPr>
        <w:t xml:space="preserve">State </w:t>
      </w:r>
      <w:r w:rsidR="00DE589A">
        <w:rPr>
          <w:color w:val="000000" w:themeColor="text1"/>
          <w:szCs w:val="22"/>
        </w:rPr>
        <w:t>Route</w:t>
      </w:r>
      <w:r w:rsidRPr="00816E2C">
        <w:rPr>
          <w:color w:val="000000" w:themeColor="text1"/>
          <w:szCs w:val="22"/>
        </w:rPr>
        <w:t xml:space="preserve"> 70, south</w:t>
      </w:r>
      <w:r>
        <w:rPr>
          <w:color w:val="000000" w:themeColor="text1"/>
          <w:szCs w:val="22"/>
        </w:rPr>
        <w:t xml:space="preserve"> </w:t>
      </w:r>
      <w:r w:rsidRPr="00816E2C">
        <w:rPr>
          <w:color w:val="000000" w:themeColor="text1"/>
          <w:szCs w:val="22"/>
        </w:rPr>
        <w:t>of Lake Placid</w:t>
      </w:r>
      <w:r>
        <w:rPr>
          <w:color w:val="000000" w:themeColor="text1"/>
          <w:szCs w:val="22"/>
        </w:rPr>
        <w:t xml:space="preserve"> in Highlands County</w:t>
      </w:r>
      <w:r w:rsidRPr="00FF28EE">
        <w:rPr>
          <w:color w:val="000000" w:themeColor="text1"/>
          <w:szCs w:val="22"/>
        </w:rPr>
        <w:t xml:space="preserve">.  The UTM coordinates are Zone 17; </w:t>
      </w:r>
      <w:r>
        <w:rPr>
          <w:color w:val="000000" w:themeColor="text1"/>
          <w:szCs w:val="22"/>
        </w:rPr>
        <w:t>466.407</w:t>
      </w:r>
      <w:r w:rsidRPr="00FF28EE">
        <w:rPr>
          <w:color w:val="000000" w:themeColor="text1"/>
          <w:szCs w:val="22"/>
        </w:rPr>
        <w:t xml:space="preserve"> </w:t>
      </w:r>
      <w:r>
        <w:rPr>
          <w:color w:val="000000" w:themeColor="text1"/>
          <w:szCs w:val="22"/>
        </w:rPr>
        <w:t>kilometers (</w:t>
      </w:r>
      <w:r w:rsidRPr="00FF28EE">
        <w:rPr>
          <w:color w:val="000000" w:themeColor="text1"/>
          <w:szCs w:val="22"/>
        </w:rPr>
        <w:t>km</w:t>
      </w:r>
      <w:r>
        <w:rPr>
          <w:color w:val="000000" w:themeColor="text1"/>
          <w:szCs w:val="22"/>
        </w:rPr>
        <w:t>)</w:t>
      </w:r>
      <w:r w:rsidRPr="00FF28EE">
        <w:rPr>
          <w:color w:val="000000" w:themeColor="text1"/>
          <w:szCs w:val="22"/>
        </w:rPr>
        <w:t xml:space="preserve"> East and </w:t>
      </w:r>
      <w:r>
        <w:rPr>
          <w:color w:val="000000" w:themeColor="text1"/>
          <w:szCs w:val="22"/>
        </w:rPr>
        <w:t>3,009.015</w:t>
      </w:r>
      <w:r w:rsidRPr="00FF28EE">
        <w:rPr>
          <w:color w:val="000000" w:themeColor="text1"/>
          <w:szCs w:val="22"/>
        </w:rPr>
        <w:t xml:space="preserve"> km North.  The location</w:t>
      </w:r>
      <w:r>
        <w:rPr>
          <w:color w:val="000000" w:themeColor="text1"/>
          <w:szCs w:val="22"/>
        </w:rPr>
        <w:t>s</w:t>
      </w:r>
      <w:r w:rsidRPr="00FF28EE">
        <w:rPr>
          <w:color w:val="000000" w:themeColor="text1"/>
          <w:szCs w:val="22"/>
        </w:rPr>
        <w:t xml:space="preserve"> of H</w:t>
      </w:r>
      <w:r>
        <w:rPr>
          <w:color w:val="000000" w:themeColor="text1"/>
          <w:szCs w:val="22"/>
        </w:rPr>
        <w:t>ighlands C</w:t>
      </w:r>
      <w:r w:rsidRPr="00FF28EE">
        <w:rPr>
          <w:color w:val="000000" w:themeColor="text1"/>
          <w:szCs w:val="22"/>
        </w:rPr>
        <w:t xml:space="preserve">ounty </w:t>
      </w:r>
      <w:r>
        <w:rPr>
          <w:color w:val="000000" w:themeColor="text1"/>
          <w:szCs w:val="22"/>
        </w:rPr>
        <w:t xml:space="preserve">and the proposed site are shown in </w:t>
      </w:r>
      <w:r w:rsidR="008072A7">
        <w:rPr>
          <w:color w:val="000000" w:themeColor="text1"/>
          <w:szCs w:val="22"/>
        </w:rPr>
        <w:fldChar w:fldCharType="begin"/>
      </w:r>
      <w:r w:rsidR="008072A7">
        <w:rPr>
          <w:color w:val="000000" w:themeColor="text1"/>
          <w:szCs w:val="22"/>
        </w:rPr>
        <w:instrText xml:space="preserve"> REF _Ref449690514 \h </w:instrText>
      </w:r>
      <w:r w:rsidR="008072A7">
        <w:rPr>
          <w:color w:val="000000" w:themeColor="text1"/>
          <w:szCs w:val="22"/>
        </w:rPr>
      </w:r>
      <w:r w:rsidR="008072A7">
        <w:rPr>
          <w:color w:val="000000" w:themeColor="text1"/>
          <w:szCs w:val="22"/>
        </w:rPr>
        <w:fldChar w:fldCharType="separate"/>
      </w:r>
      <w:r w:rsidR="005A4C55" w:rsidRPr="00A63828">
        <w:rPr>
          <w:rFonts w:ascii="Times New Roman Bold" w:hAnsi="Times New Roman Bold"/>
        </w:rPr>
        <w:t xml:space="preserve">Figure </w:t>
      </w:r>
      <w:r w:rsidR="005A4C55">
        <w:rPr>
          <w:rFonts w:ascii="Times New Roman Bold" w:hAnsi="Times New Roman Bold"/>
          <w:noProof/>
        </w:rPr>
        <w:t>1</w:t>
      </w:r>
      <w:r w:rsidR="008072A7">
        <w:rPr>
          <w:color w:val="000000" w:themeColor="text1"/>
          <w:szCs w:val="22"/>
        </w:rPr>
        <w:fldChar w:fldCharType="end"/>
      </w:r>
      <w:r w:rsidR="008072A7">
        <w:rPr>
          <w:color w:val="000000" w:themeColor="text1"/>
          <w:szCs w:val="22"/>
        </w:rPr>
        <w:t xml:space="preserve"> </w:t>
      </w:r>
      <w:r>
        <w:rPr>
          <w:color w:val="000000" w:themeColor="text1"/>
          <w:szCs w:val="22"/>
        </w:rPr>
        <w:t>and</w:t>
      </w:r>
      <w:r w:rsidR="008072A7">
        <w:rPr>
          <w:color w:val="000000" w:themeColor="text1"/>
          <w:szCs w:val="22"/>
        </w:rPr>
        <w:t xml:space="preserve"> </w:t>
      </w:r>
      <w:r w:rsidR="008072A7">
        <w:rPr>
          <w:color w:val="000000" w:themeColor="text1"/>
          <w:szCs w:val="22"/>
        </w:rPr>
        <w:fldChar w:fldCharType="begin"/>
      </w:r>
      <w:r w:rsidR="008072A7">
        <w:rPr>
          <w:color w:val="000000" w:themeColor="text1"/>
          <w:szCs w:val="22"/>
        </w:rPr>
        <w:instrText xml:space="preserve"> REF _Ref477938607 \h </w:instrText>
      </w:r>
      <w:r w:rsidR="008072A7">
        <w:rPr>
          <w:color w:val="000000" w:themeColor="text1"/>
          <w:szCs w:val="22"/>
        </w:rPr>
      </w:r>
      <w:r w:rsidR="008072A7">
        <w:rPr>
          <w:color w:val="000000" w:themeColor="text1"/>
          <w:szCs w:val="22"/>
        </w:rPr>
        <w:fldChar w:fldCharType="separate"/>
      </w:r>
      <w:r w:rsidR="005A4C55" w:rsidRPr="00334001">
        <w:rPr>
          <w:rFonts w:ascii="Times New Roman Bold" w:hAnsi="Times New Roman Bold"/>
        </w:rPr>
        <w:t xml:space="preserve">Figure </w:t>
      </w:r>
      <w:r w:rsidR="005A4C55">
        <w:rPr>
          <w:rFonts w:ascii="Times New Roman Bold" w:hAnsi="Times New Roman Bold"/>
          <w:caps/>
          <w:noProof/>
        </w:rPr>
        <w:t>2</w:t>
      </w:r>
      <w:r w:rsidR="008072A7">
        <w:rPr>
          <w:color w:val="000000" w:themeColor="text1"/>
          <w:szCs w:val="22"/>
        </w:rPr>
        <w:fldChar w:fldCharType="end"/>
      </w:r>
      <w:r>
        <w:rPr>
          <w:color w:val="000000" w:themeColor="text1"/>
          <w:szCs w:val="22"/>
        </w:rPr>
        <w:t>.</w:t>
      </w:r>
    </w:p>
    <w:p w:rsidR="00810370" w:rsidRDefault="004E318E" w:rsidP="004E318E">
      <w:pPr>
        <w:pStyle w:val="BodyText3"/>
        <w:widowControl w:val="0"/>
        <w:numPr>
          <w:ilvl w:val="12"/>
          <w:numId w:val="0"/>
        </w:numPr>
        <w:tabs>
          <w:tab w:val="left" w:pos="4500"/>
        </w:tabs>
        <w:spacing w:before="0"/>
      </w:pPr>
      <w:r>
        <w:rPr>
          <w:noProof/>
        </w:rPr>
        <mc:AlternateContent>
          <mc:Choice Requires="wps">
            <w:drawing>
              <wp:anchor distT="0" distB="0" distL="114300" distR="114300" simplePos="0" relativeHeight="251678720" behindDoc="0" locked="0" layoutInCell="1" allowOverlap="1" wp14:anchorId="5A412F55" wp14:editId="11C1BB1B">
                <wp:simplePos x="0" y="0"/>
                <wp:positionH relativeFrom="column">
                  <wp:posOffset>4578212</wp:posOffset>
                </wp:positionH>
                <wp:positionV relativeFrom="paragraph">
                  <wp:posOffset>2546239</wp:posOffset>
                </wp:positionV>
                <wp:extent cx="142875" cy="95250"/>
                <wp:effectExtent l="38100" t="19050" r="47625" b="38100"/>
                <wp:wrapNone/>
                <wp:docPr id="7" name="Star: 5 Points 7"/>
                <wp:cNvGraphicFramePr/>
                <a:graphic xmlns:a="http://schemas.openxmlformats.org/drawingml/2006/main">
                  <a:graphicData uri="http://schemas.microsoft.com/office/word/2010/wordprocessingShape">
                    <wps:wsp>
                      <wps:cNvSpPr/>
                      <wps:spPr>
                        <a:xfrm>
                          <a:off x="0" y="0"/>
                          <a:ext cx="142875" cy="95250"/>
                        </a:xfrm>
                        <a:prstGeom prst="star5">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B124C62" id="Star: 5 Points 7" o:spid="_x0000_s1026" style="position:absolute;margin-left:360.5pt;margin-top:200.5pt;width:11.25pt;height:7.5pt;z-index:251678720;visibility:visible;mso-wrap-style:square;mso-wrap-distance-left:9pt;mso-wrap-distance-top:0;mso-wrap-distance-right:9pt;mso-wrap-distance-bottom:0;mso-position-horizontal:absolute;mso-position-horizontal-relative:text;mso-position-vertical:absolute;mso-position-vertical-relative:text;v-text-anchor:middle" coordsize="14287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" path="m,36382r54574,l71438,,88301,36382r54574,l98724,58867r16864,36383l71438,72764,27287,95250,44151,58867,,36382xe" fillcolor="red" strokecolor="red" strokeweight="2pt">
                <v:path arrowok="t" o:connecttype="custom" o:connectlocs="0,36382;54574,36382;71438,0;88301,36382;142875,36382;98724,58867;115588,95250;71438,72764;27287,95250;44151,58867;0,36382" o:connectangles="0,0,0,0,0,0,0,0,0,0,0"/>
              </v:shape>
            </w:pict>
          </mc:Fallback>
        </mc:AlternateContent>
      </w:r>
      <w:r>
        <w:rPr>
          <w:noProof/>
        </w:rPr>
        <mc:AlternateContent>
          <mc:Choice Requires="wps">
            <w:drawing>
              <wp:anchor distT="0" distB="0" distL="114300" distR="114300" simplePos="0" relativeHeight="251660288" behindDoc="0" locked="0" layoutInCell="1" allowOverlap="1" wp14:anchorId="47347B4C" wp14:editId="436AE794">
                <wp:simplePos x="0" y="0"/>
                <wp:positionH relativeFrom="column">
                  <wp:posOffset>811033</wp:posOffset>
                </wp:positionH>
                <wp:positionV relativeFrom="paragraph">
                  <wp:posOffset>921909</wp:posOffset>
                </wp:positionV>
                <wp:extent cx="1709530" cy="850789"/>
                <wp:effectExtent l="0" t="0" r="81280" b="64135"/>
                <wp:wrapNone/>
                <wp:docPr id="6"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09530" cy="850789"/>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32D9E0" id="_x0000_t32" coordsize="21600,21600" o:spt="32" o:oned="t" path="m,l21600,21600e" filled="f">
                <v:path arrowok="t" fillok="f" o:connecttype="none"/>
                <o:lock v:ext="edit" shapetype="t"/>
              </v:shapetype>
              <v:shape id="AutoShape 5" o:spid="_x0000_s1026" type="#_x0000_t32" style="position:absolute;margin-left:63.85pt;margin-top:72.6pt;width:134.6pt;height: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" strokeweight="1pt">
                <v:stroke endarrow="block"/>
              </v:shape>
            </w:pict>
          </mc:Fallback>
        </mc:AlternateContent>
      </w:r>
      <w:r>
        <w:rPr>
          <w:noProof/>
        </w:rPr>
        <mc:AlternateContent>
          <mc:Choice Requires="wps">
            <w:drawing>
              <wp:anchor distT="0" distB="0" distL="114300" distR="114300" simplePos="0" relativeHeight="251659264" behindDoc="0" locked="0" layoutInCell="1" allowOverlap="1" wp14:anchorId="7742F1DA" wp14:editId="5E453746">
                <wp:simplePos x="0" y="0"/>
                <wp:positionH relativeFrom="column">
                  <wp:posOffset>97707</wp:posOffset>
                </wp:positionH>
                <wp:positionV relativeFrom="paragraph">
                  <wp:posOffset>574454</wp:posOffset>
                </wp:positionV>
                <wp:extent cx="942975" cy="425450"/>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2975" cy="425450"/>
                        </a:xfrm>
                        <a:prstGeom prst="rect">
                          <a:avLst/>
                        </a:prstGeom>
                        <a:noFill/>
                        <a:ln w="6350">
                          <a:noFill/>
                        </a:ln>
                        <a:effectLst/>
                      </wps:spPr>
                      <wps:txbx>
                        <w:txbxContent>
                          <w:p w:rsidR="004E318E" w:rsidRPr="00EF387B" w:rsidRDefault="004E318E" w:rsidP="00810370">
                            <w:pPr>
                              <w:jc w:val="center"/>
                              <w:rPr>
                                <w:b/>
                                <w:sz w:val="22"/>
                                <w:szCs w:val="22"/>
                              </w:rPr>
                            </w:pPr>
                            <w:r>
                              <w:rPr>
                                <w:b/>
                                <w:sz w:val="22"/>
                                <w:szCs w:val="22"/>
                              </w:rPr>
                              <w:t xml:space="preserve">Highlands </w:t>
                            </w:r>
                            <w:r w:rsidRPr="00EF387B">
                              <w:rPr>
                                <w:b/>
                                <w:sz w:val="22"/>
                                <w:szCs w:val="22"/>
                              </w:rPr>
                              <w:t>County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7742F1DA" id="_x0000_t202" coordsize="21600,21600" o:spt="202" path="m,l,21600r21600,l21600,xe">
                <v:stroke joinstyle="miter"/>
                <v:path gradientshapeok="t" o:connecttype="rect"/>
              </v:shapetype>
              <v:shape id="Text Box 10" o:spid="_x0000_s1026" type="#_x0000_t202" style="position:absolute;margin-left:7.7pt;margin-top:45.25pt;width:74.25pt;height:3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" filled="f" stroked="f" strokeweight=".5pt">
                <v:textbox>
                  <w:txbxContent>
                    <w:p w:rsidR="004E318E" w:rsidRPr="00EF387B" w:rsidRDefault="004E318E" w:rsidP="00810370">
                      <w:pPr>
                        <w:jc w:val="center"/>
                        <w:rPr>
                          <w:b/>
                          <w:sz w:val="22"/>
                          <w:szCs w:val="22"/>
                        </w:rPr>
                      </w:pPr>
                      <w:r>
                        <w:rPr>
                          <w:b/>
                          <w:sz w:val="22"/>
                          <w:szCs w:val="22"/>
                        </w:rPr>
                        <w:t xml:space="preserve">Highlands </w:t>
                      </w:r>
                      <w:r w:rsidRPr="00EF387B">
                        <w:rPr>
                          <w:b/>
                          <w:sz w:val="22"/>
                          <w:szCs w:val="22"/>
                        </w:rPr>
                        <w:t>County</w:t>
                      </w:r>
                    </w:p>
                  </w:txbxContent>
                </v:textbox>
              </v:shape>
            </w:pict>
          </mc:Fallback>
        </mc:AlternateContent>
      </w:r>
      <w:r w:rsidR="00810370">
        <w:rPr>
          <w:noProof/>
          <w:color w:val="0000FF"/>
          <w:szCs w:val="22"/>
        </w:rPr>
        <w:drawing>
          <wp:inline distT="0" distB="0" distL="0" distR="0" wp14:anchorId="24B3230D" wp14:editId="07547DDF">
            <wp:extent cx="3129839" cy="3122433"/>
            <wp:effectExtent l="19050" t="19050" r="13970" b="20955"/>
            <wp:docPr id="14" name="Picture 14" descr="File:Map of Florida highlighting Highlands County.sv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le:Map of Florida highlighting Highlands County.svg"/>
                    <pic:cNvPicPr>
                      <a:picLocks noChangeAspect="1" noChangeArrowheads="1"/>
                    </pic:cNvPicPr>
                  </pic:nvPicPr>
                  <pic:blipFill>
                    <a:blip r:embed="rId10" cstate="print"/>
                    <a:srcRect/>
                    <a:stretch>
                      <a:fillRect/>
                    </a:stretch>
                  </pic:blipFill>
                  <pic:spPr bwMode="auto">
                    <a:xfrm>
                      <a:off x="0" y="0"/>
                      <a:ext cx="3138044" cy="3130619"/>
                    </a:xfrm>
                    <a:prstGeom prst="rect">
                      <a:avLst/>
                    </a:prstGeom>
                    <a:noFill/>
                    <a:ln w="12700">
                      <a:solidFill>
                        <a:schemeClr val="tx1"/>
                      </a:solidFill>
                      <a:miter lim="800000"/>
                      <a:headEnd/>
                      <a:tailEnd/>
                    </a:ln>
                  </pic:spPr>
                </pic:pic>
              </a:graphicData>
            </a:graphic>
          </wp:inline>
        </w:drawing>
      </w:r>
      <w:r>
        <w:tab/>
      </w:r>
      <w:r w:rsidRPr="0066437C">
        <w:rPr>
          <w:noProof/>
        </w:rPr>
        <w:t xml:space="preserve"> </w:t>
      </w:r>
      <w:r w:rsidRPr="0066437C">
        <w:rPr>
          <w:noProof/>
        </w:rPr>
        <w:drawing>
          <wp:inline distT="0" distB="0" distL="0" distR="0" wp14:anchorId="596CE46A" wp14:editId="41839C1C">
            <wp:extent cx="2938147" cy="3100378"/>
            <wp:effectExtent l="19050" t="19050" r="14605" b="2413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72610" cy="3136744"/>
                    </a:xfrm>
                    <a:prstGeom prst="rect">
                      <a:avLst/>
                    </a:prstGeom>
                    <a:noFill/>
                    <a:ln w="12700">
                      <a:solidFill>
                        <a:srgbClr val="000000"/>
                      </a:solidFill>
                    </a:ln>
                  </pic:spPr>
                </pic:pic>
              </a:graphicData>
            </a:graphic>
          </wp:inline>
        </w:drawing>
      </w:r>
    </w:p>
    <w:p w:rsidR="00810370" w:rsidRDefault="00810370" w:rsidP="004E318E">
      <w:pPr>
        <w:pStyle w:val="BodyText3"/>
        <w:widowControl w:val="0"/>
        <w:numPr>
          <w:ilvl w:val="12"/>
          <w:numId w:val="0"/>
        </w:numPr>
        <w:tabs>
          <w:tab w:val="left" w:pos="5850"/>
        </w:tabs>
        <w:spacing w:before="0"/>
        <w:rPr>
          <w:rFonts w:ascii="Times New Roman Bold" w:hAnsi="Times New Roman Bold"/>
        </w:rPr>
      </w:pPr>
      <w:bookmarkStart w:id="2" w:name="_Ref449690514"/>
      <w:r w:rsidRPr="00A63828">
        <w:rPr>
          <w:rFonts w:ascii="Times New Roman Bold" w:hAnsi="Times New Roman Bold"/>
        </w:rPr>
        <w:t xml:space="preserve">Figure </w:t>
      </w:r>
      <w:r w:rsidRPr="00A63828">
        <w:rPr>
          <w:rFonts w:ascii="Times New Roman Bold" w:hAnsi="Times New Roman Bold"/>
          <w:caps/>
        </w:rPr>
        <w:fldChar w:fldCharType="begin"/>
      </w:r>
      <w:r w:rsidRPr="00A63828">
        <w:rPr>
          <w:rFonts w:ascii="Times New Roman Bold" w:hAnsi="Times New Roman Bold"/>
        </w:rPr>
        <w:instrText xml:space="preserve"> SEQ Figure \* ARABIC </w:instrText>
      </w:r>
      <w:r w:rsidRPr="00A63828">
        <w:rPr>
          <w:rFonts w:ascii="Times New Roman Bold" w:hAnsi="Times New Roman Bold"/>
          <w:caps/>
        </w:rPr>
        <w:fldChar w:fldCharType="separate"/>
      </w:r>
      <w:r w:rsidR="005A4C55">
        <w:rPr>
          <w:rFonts w:ascii="Times New Roman Bold" w:hAnsi="Times New Roman Bold"/>
          <w:noProof/>
        </w:rPr>
        <w:t>1</w:t>
      </w:r>
      <w:r w:rsidRPr="00A63828">
        <w:rPr>
          <w:rFonts w:ascii="Times New Roman Bold" w:hAnsi="Times New Roman Bold"/>
          <w:caps/>
        </w:rPr>
        <w:fldChar w:fldCharType="end"/>
      </w:r>
      <w:bookmarkEnd w:id="2"/>
      <w:r w:rsidRPr="00A63828">
        <w:rPr>
          <w:rFonts w:ascii="Times New Roman Bold" w:hAnsi="Times New Roman Bold"/>
        </w:rPr>
        <w:t xml:space="preserve">.  Location of </w:t>
      </w:r>
      <w:r w:rsidRPr="00810370">
        <w:rPr>
          <w:rFonts w:ascii="Times New Roman Bold" w:hAnsi="Times New Roman Bold"/>
        </w:rPr>
        <w:t xml:space="preserve">Highlands </w:t>
      </w:r>
      <w:r w:rsidRPr="00A63828">
        <w:rPr>
          <w:rFonts w:ascii="Times New Roman Bold" w:hAnsi="Times New Roman Bold"/>
        </w:rPr>
        <w:t>County.</w:t>
      </w:r>
      <w:r w:rsidR="004E318E">
        <w:rPr>
          <w:rFonts w:ascii="Times New Roman Bold" w:hAnsi="Times New Roman Bold"/>
        </w:rPr>
        <w:tab/>
      </w:r>
      <w:bookmarkStart w:id="3" w:name="_Ref477938607"/>
      <w:r w:rsidR="004E318E" w:rsidRPr="00334001">
        <w:rPr>
          <w:rFonts w:ascii="Times New Roman Bold" w:hAnsi="Times New Roman Bold"/>
        </w:rPr>
        <w:t xml:space="preserve">Figure </w:t>
      </w:r>
      <w:r w:rsidR="004E318E" w:rsidRPr="00334001">
        <w:rPr>
          <w:rFonts w:ascii="Times New Roman Bold" w:hAnsi="Times New Roman Bold"/>
          <w:caps/>
        </w:rPr>
        <w:fldChar w:fldCharType="begin"/>
      </w:r>
      <w:r w:rsidR="004E318E" w:rsidRPr="00334001">
        <w:rPr>
          <w:rFonts w:ascii="Times New Roman Bold" w:hAnsi="Times New Roman Bold"/>
        </w:rPr>
        <w:instrText xml:space="preserve"> SEQ Figure \* ARABIC </w:instrText>
      </w:r>
      <w:r w:rsidR="004E318E" w:rsidRPr="00334001">
        <w:rPr>
          <w:rFonts w:ascii="Times New Roman Bold" w:hAnsi="Times New Roman Bold"/>
          <w:caps/>
        </w:rPr>
        <w:fldChar w:fldCharType="separate"/>
      </w:r>
      <w:r w:rsidR="004E318E">
        <w:rPr>
          <w:rFonts w:ascii="Times New Roman Bold" w:hAnsi="Times New Roman Bold"/>
          <w:noProof/>
        </w:rPr>
        <w:t>2</w:t>
      </w:r>
      <w:r w:rsidR="004E318E" w:rsidRPr="00334001">
        <w:rPr>
          <w:rFonts w:ascii="Times New Roman Bold" w:hAnsi="Times New Roman Bold"/>
          <w:caps/>
        </w:rPr>
        <w:fldChar w:fldCharType="end"/>
      </w:r>
      <w:bookmarkEnd w:id="3"/>
      <w:r w:rsidR="004E318E" w:rsidRPr="00334001">
        <w:rPr>
          <w:rFonts w:ascii="Times New Roman Bold" w:hAnsi="Times New Roman Bold"/>
        </w:rPr>
        <w:t>.  Proposed HEF Location.</w:t>
      </w:r>
    </w:p>
    <w:p w:rsidR="00810370" w:rsidRPr="00836ED4" w:rsidRDefault="00810370" w:rsidP="00810370">
      <w:pPr>
        <w:pStyle w:val="ListParagraph"/>
        <w:widowControl w:val="0"/>
        <w:numPr>
          <w:ilvl w:val="1"/>
          <w:numId w:val="15"/>
        </w:numPr>
        <w:spacing w:after="120"/>
        <w:ind w:left="720" w:hanging="720"/>
        <w:contextualSpacing w:val="0"/>
        <w:rPr>
          <w:b/>
          <w:bCs/>
          <w:sz w:val="22"/>
          <w:szCs w:val="22"/>
        </w:rPr>
      </w:pPr>
      <w:r w:rsidRPr="00836ED4">
        <w:rPr>
          <w:b/>
          <w:bCs/>
          <w:sz w:val="22"/>
          <w:szCs w:val="22"/>
        </w:rPr>
        <w:t>Primary Regulatory Categories</w:t>
      </w:r>
    </w:p>
    <w:p w:rsidR="00810370" w:rsidRPr="007D75E4" w:rsidRDefault="00810370" w:rsidP="00810370">
      <w:pPr>
        <w:numPr>
          <w:ilvl w:val="0"/>
          <w:numId w:val="14"/>
        </w:numPr>
        <w:spacing w:after="120"/>
        <w:rPr>
          <w:sz w:val="22"/>
          <w:szCs w:val="22"/>
        </w:rPr>
      </w:pPr>
      <w:r w:rsidRPr="007D75E4">
        <w:rPr>
          <w:sz w:val="22"/>
          <w:szCs w:val="22"/>
        </w:rPr>
        <w:t xml:space="preserve">The </w:t>
      </w:r>
      <w:r>
        <w:rPr>
          <w:sz w:val="22"/>
          <w:szCs w:val="22"/>
        </w:rPr>
        <w:t xml:space="preserve">proposed </w:t>
      </w:r>
      <w:r w:rsidRPr="007D75E4">
        <w:rPr>
          <w:sz w:val="22"/>
          <w:szCs w:val="22"/>
        </w:rPr>
        <w:t>facility is a major source of hazardous air pollutants (HAP).</w:t>
      </w:r>
    </w:p>
    <w:p w:rsidR="00810370" w:rsidRPr="007D75E4" w:rsidRDefault="00810370" w:rsidP="00810370">
      <w:pPr>
        <w:pStyle w:val="BodyText"/>
        <w:numPr>
          <w:ilvl w:val="0"/>
          <w:numId w:val="14"/>
        </w:numPr>
        <w:rPr>
          <w:sz w:val="22"/>
          <w:szCs w:val="22"/>
        </w:rPr>
      </w:pPr>
      <w:r w:rsidRPr="007D75E4">
        <w:rPr>
          <w:sz w:val="22"/>
          <w:szCs w:val="22"/>
        </w:rPr>
        <w:t xml:space="preserve">The facility </w:t>
      </w:r>
      <w:r>
        <w:rPr>
          <w:sz w:val="22"/>
          <w:szCs w:val="22"/>
        </w:rPr>
        <w:t>will</w:t>
      </w:r>
      <w:r w:rsidRPr="007D75E4">
        <w:rPr>
          <w:sz w:val="22"/>
          <w:szCs w:val="22"/>
        </w:rPr>
        <w:t xml:space="preserve"> not operate units subject to the acid rain provisions of the Clean Air Act.</w:t>
      </w:r>
    </w:p>
    <w:p w:rsidR="00810370" w:rsidRPr="007D75E4" w:rsidRDefault="00810370" w:rsidP="00810370">
      <w:pPr>
        <w:numPr>
          <w:ilvl w:val="0"/>
          <w:numId w:val="14"/>
        </w:numPr>
        <w:spacing w:after="120"/>
        <w:rPr>
          <w:sz w:val="22"/>
          <w:szCs w:val="22"/>
        </w:rPr>
      </w:pPr>
      <w:r w:rsidRPr="007D75E4">
        <w:rPr>
          <w:sz w:val="22"/>
          <w:szCs w:val="22"/>
        </w:rPr>
        <w:t xml:space="preserve">The </w:t>
      </w:r>
      <w:r>
        <w:rPr>
          <w:sz w:val="22"/>
          <w:szCs w:val="22"/>
        </w:rPr>
        <w:t xml:space="preserve">proposed </w:t>
      </w:r>
      <w:r w:rsidRPr="007D75E4">
        <w:rPr>
          <w:sz w:val="22"/>
          <w:szCs w:val="22"/>
        </w:rPr>
        <w:t>facility is a Title V major source of air pollution in accordance with Chapter 62-213, F.A.C.</w:t>
      </w:r>
    </w:p>
    <w:p w:rsidR="00810370" w:rsidRPr="00334001" w:rsidRDefault="00810370" w:rsidP="00810370">
      <w:pPr>
        <w:numPr>
          <w:ilvl w:val="0"/>
          <w:numId w:val="14"/>
        </w:numPr>
        <w:spacing w:after="120"/>
        <w:rPr>
          <w:sz w:val="22"/>
          <w:szCs w:val="22"/>
        </w:rPr>
      </w:pPr>
      <w:r w:rsidRPr="007D75E4">
        <w:rPr>
          <w:sz w:val="22"/>
          <w:szCs w:val="22"/>
        </w:rPr>
        <w:t xml:space="preserve">The </w:t>
      </w:r>
      <w:r>
        <w:rPr>
          <w:sz w:val="22"/>
          <w:szCs w:val="22"/>
        </w:rPr>
        <w:t xml:space="preserve">proposed </w:t>
      </w:r>
      <w:r w:rsidRPr="007D75E4">
        <w:rPr>
          <w:sz w:val="22"/>
          <w:szCs w:val="22"/>
        </w:rPr>
        <w:t>facility is a major stationary source in accordance with Rule 62-212.400, F.A.C. for the Prevention of Significant Deterioration (PSD) of Air Quality.</w:t>
      </w:r>
      <w:r w:rsidRPr="009B200B">
        <w:rPr>
          <w:b/>
          <w:bCs/>
          <w:noProof/>
          <w:szCs w:val="22"/>
        </w:rPr>
        <w:t xml:space="preserve"> </w:t>
      </w:r>
    </w:p>
    <w:p w:rsidR="00334001" w:rsidRPr="00836ED4" w:rsidRDefault="00334001" w:rsidP="00334001">
      <w:pPr>
        <w:pStyle w:val="ListParagraph"/>
        <w:widowControl w:val="0"/>
        <w:numPr>
          <w:ilvl w:val="1"/>
          <w:numId w:val="15"/>
        </w:numPr>
        <w:spacing w:after="120"/>
        <w:ind w:left="720" w:hanging="720"/>
        <w:contextualSpacing w:val="0"/>
        <w:rPr>
          <w:b/>
          <w:bCs/>
          <w:sz w:val="22"/>
          <w:szCs w:val="22"/>
        </w:rPr>
      </w:pPr>
      <w:r w:rsidRPr="00836ED4">
        <w:rPr>
          <w:b/>
          <w:bCs/>
          <w:sz w:val="22"/>
          <w:szCs w:val="22"/>
        </w:rPr>
        <w:t>Project Description</w:t>
      </w:r>
    </w:p>
    <w:p w:rsidR="004434F5" w:rsidRDefault="00334001" w:rsidP="00334001">
      <w:pPr>
        <w:pStyle w:val="BodyText2"/>
        <w:widowControl w:val="0"/>
        <w:numPr>
          <w:ilvl w:val="0"/>
          <w:numId w:val="0"/>
        </w:numPr>
        <w:jc w:val="left"/>
        <w:rPr>
          <w:szCs w:val="22"/>
        </w:rPr>
      </w:pPr>
      <w:r>
        <w:rPr>
          <w:szCs w:val="22"/>
        </w:rPr>
        <w:t>HEF</w:t>
      </w:r>
      <w:r w:rsidRPr="001430FF">
        <w:rPr>
          <w:szCs w:val="22"/>
        </w:rPr>
        <w:t xml:space="preserve"> submitted an application</w:t>
      </w:r>
      <w:r w:rsidRPr="001430FF">
        <w:rPr>
          <w:rStyle w:val="FootnoteReference"/>
          <w:szCs w:val="22"/>
        </w:rPr>
        <w:footnoteReference w:id="1"/>
      </w:r>
      <w:r w:rsidRPr="001430FF">
        <w:rPr>
          <w:szCs w:val="22"/>
        </w:rPr>
        <w:t xml:space="preserve"> for an air construction permit subject to the preconstruction review requirements of the PSD of Air Quality pursuant to Rule 62-212.400, F.A.C.  </w:t>
      </w:r>
      <w:r w:rsidR="004434F5">
        <w:rPr>
          <w:szCs w:val="22"/>
        </w:rPr>
        <w:t>HEF has already received an air construction permit (Permit No. 0550063-004-AC/PSD-FL-416A, subsequently extended twice) for the proposed project; however, more than 18 months have elapsed without the beginning of work on the project.  Hence, the evaluation of Best Available Control Technology (BACT) for the project must be revisited.</w:t>
      </w:r>
    </w:p>
    <w:p w:rsidR="00824E76" w:rsidRDefault="00334001" w:rsidP="00824E76">
      <w:pPr>
        <w:pStyle w:val="BodyText3"/>
        <w:widowControl w:val="0"/>
        <w:numPr>
          <w:ilvl w:val="12"/>
          <w:numId w:val="0"/>
        </w:numPr>
        <w:rPr>
          <w:szCs w:val="22"/>
        </w:rPr>
      </w:pPr>
      <w:r w:rsidRPr="001430FF">
        <w:rPr>
          <w:szCs w:val="22"/>
        </w:rPr>
        <w:t xml:space="preserve">This project entails the construction of a </w:t>
      </w:r>
      <w:r w:rsidR="00824E76">
        <w:rPr>
          <w:szCs w:val="22"/>
        </w:rPr>
        <w:t xml:space="preserve">sugarcane and sweet sorghum-to-ethanol advanced </w:t>
      </w:r>
      <w:r w:rsidR="00724F74">
        <w:rPr>
          <w:szCs w:val="22"/>
        </w:rPr>
        <w:t>biorefinery</w:t>
      </w:r>
      <w:r w:rsidR="00824E76">
        <w:rPr>
          <w:szCs w:val="22"/>
        </w:rPr>
        <w:t xml:space="preserve">.  The cane (i.e. the sugarcane and sorghum) will be grown on nearby farmland.  The juice will be squeezed from the feedstock stalks, fermented, distilled and blended to make a range of ethanol/gasoline products, including E-85 </w:t>
      </w:r>
      <w:r w:rsidR="00824E76">
        <w:rPr>
          <w:szCs w:val="22"/>
        </w:rPr>
        <w:lastRenderedPageBreak/>
        <w:t>(an 85/15 ethanol/gasoline blend).  T</w:t>
      </w:r>
      <w:r w:rsidR="00824E76" w:rsidRPr="00A74622">
        <w:rPr>
          <w:szCs w:val="22"/>
        </w:rPr>
        <w:t xml:space="preserve">he </w:t>
      </w:r>
      <w:r w:rsidR="00824E76">
        <w:rPr>
          <w:szCs w:val="22"/>
        </w:rPr>
        <w:t>leftover stalk fiber (bagasse) will be combusted in a cogeneration biomass boiler to make process steam and up to 30 megawatts (MW, gross) of electricity.</w:t>
      </w:r>
      <w:r w:rsidR="00824E76" w:rsidRPr="00861F0F">
        <w:rPr>
          <w:szCs w:val="22"/>
        </w:rPr>
        <w:t xml:space="preserve"> </w:t>
      </w:r>
      <w:r w:rsidR="00824E76">
        <w:rPr>
          <w:szCs w:val="22"/>
        </w:rPr>
        <w:t xml:space="preserve"> </w:t>
      </w:r>
      <w:r w:rsidR="00824E76" w:rsidRPr="00EB3D16">
        <w:rPr>
          <w:bCs/>
          <w:szCs w:val="22"/>
        </w:rPr>
        <w:t xml:space="preserve">In addition to bagasse, HEF will use </w:t>
      </w:r>
      <w:r w:rsidR="00824E76">
        <w:rPr>
          <w:bCs/>
          <w:szCs w:val="22"/>
        </w:rPr>
        <w:t>s</w:t>
      </w:r>
      <w:r w:rsidR="00824E76" w:rsidRPr="00EB3D16">
        <w:rPr>
          <w:bCs/>
          <w:szCs w:val="22"/>
        </w:rPr>
        <w:t>upplemental biomass consist</w:t>
      </w:r>
      <w:r w:rsidR="00824E76">
        <w:rPr>
          <w:bCs/>
          <w:szCs w:val="22"/>
        </w:rPr>
        <w:t xml:space="preserve">ing </w:t>
      </w:r>
      <w:r w:rsidR="00824E76" w:rsidRPr="00EB3D16">
        <w:rPr>
          <w:bCs/>
          <w:szCs w:val="22"/>
        </w:rPr>
        <w:t>of energy crops, wood chips and vegetative debris</w:t>
      </w:r>
      <w:r w:rsidR="00824E76">
        <w:rPr>
          <w:bCs/>
          <w:szCs w:val="22"/>
        </w:rPr>
        <w:t xml:space="preserve">.  </w:t>
      </w:r>
      <w:r w:rsidR="00824E76">
        <w:rPr>
          <w:szCs w:val="22"/>
        </w:rPr>
        <w:t xml:space="preserve">Natural gas will be used for startup shutdown and flame stabilization </w:t>
      </w:r>
      <w:r w:rsidR="00824E76" w:rsidRPr="002C513F">
        <w:rPr>
          <w:szCs w:val="22"/>
        </w:rPr>
        <w:t>and during a disruption in the biomass supply</w:t>
      </w:r>
      <w:r w:rsidR="00824E76">
        <w:rPr>
          <w:szCs w:val="22"/>
        </w:rPr>
        <w:t>.</w:t>
      </w:r>
    </w:p>
    <w:p w:rsidR="00824E76" w:rsidRDefault="00824E76" w:rsidP="00824E76">
      <w:pPr>
        <w:pStyle w:val="BodyText3"/>
        <w:widowControl w:val="0"/>
        <w:numPr>
          <w:ilvl w:val="12"/>
          <w:numId w:val="0"/>
        </w:numPr>
        <w:spacing w:before="0"/>
        <w:rPr>
          <w:szCs w:val="22"/>
        </w:rPr>
      </w:pPr>
      <w:r>
        <w:rPr>
          <w:szCs w:val="22"/>
        </w:rPr>
        <w:t xml:space="preserve">The HEF process is akin to conventional sugar production practiced in South Florida, except that the juice is fermented and distilled to produce ethanol rather than evaporated and refined to produce sugar.  </w:t>
      </w:r>
      <w:r w:rsidR="00724F74" w:rsidRPr="009B42B7">
        <w:rPr>
          <w:color w:val="000000" w:themeColor="text1"/>
          <w:szCs w:val="22"/>
        </w:rPr>
        <w:t>S</w:t>
      </w:r>
      <w:r w:rsidR="00724F74">
        <w:rPr>
          <w:color w:val="000000" w:themeColor="text1"/>
          <w:szCs w:val="22"/>
        </w:rPr>
        <w:t>ugarcane and s</w:t>
      </w:r>
      <w:r w:rsidR="00724F74" w:rsidRPr="009B42B7">
        <w:rPr>
          <w:color w:val="000000" w:themeColor="text1"/>
          <w:szCs w:val="22"/>
        </w:rPr>
        <w:t xml:space="preserve">weet sorghum </w:t>
      </w:r>
      <w:r w:rsidR="00724F74">
        <w:rPr>
          <w:color w:val="000000" w:themeColor="text1"/>
          <w:szCs w:val="22"/>
        </w:rPr>
        <w:t xml:space="preserve">(cane) for the </w:t>
      </w:r>
      <w:r w:rsidR="00724F74" w:rsidRPr="009B42B7">
        <w:rPr>
          <w:color w:val="000000" w:themeColor="text1"/>
          <w:szCs w:val="22"/>
        </w:rPr>
        <w:t xml:space="preserve">proposed </w:t>
      </w:r>
      <w:r w:rsidR="00724F74">
        <w:rPr>
          <w:color w:val="000000" w:themeColor="text1"/>
          <w:szCs w:val="22"/>
        </w:rPr>
        <w:t xml:space="preserve">HEF facility </w:t>
      </w:r>
      <w:r w:rsidR="00724F74" w:rsidRPr="009B42B7">
        <w:rPr>
          <w:color w:val="000000" w:themeColor="text1"/>
          <w:szCs w:val="22"/>
        </w:rPr>
        <w:t xml:space="preserve">will be grown on </w:t>
      </w:r>
      <w:r w:rsidR="00724F74">
        <w:rPr>
          <w:color w:val="000000" w:themeColor="text1"/>
          <w:szCs w:val="22"/>
        </w:rPr>
        <w:t>nearby farms comprising about 30,000 to 36,000 acres</w:t>
      </w:r>
      <w:r w:rsidR="00724F74" w:rsidRPr="009B42B7">
        <w:rPr>
          <w:color w:val="000000" w:themeColor="text1"/>
          <w:szCs w:val="22"/>
        </w:rPr>
        <w:t>.</w:t>
      </w:r>
    </w:p>
    <w:p w:rsidR="00824E76" w:rsidRPr="00CF2878" w:rsidRDefault="00824E76" w:rsidP="00824E76">
      <w:pPr>
        <w:spacing w:after="60"/>
        <w:rPr>
          <w:sz w:val="22"/>
          <w:szCs w:val="22"/>
        </w:rPr>
      </w:pPr>
      <w:r w:rsidRPr="00CF2878">
        <w:rPr>
          <w:sz w:val="22"/>
          <w:szCs w:val="22"/>
        </w:rPr>
        <w:t xml:space="preserve">The </w:t>
      </w:r>
      <w:r>
        <w:rPr>
          <w:sz w:val="22"/>
          <w:szCs w:val="22"/>
        </w:rPr>
        <w:t>main process steps are</w:t>
      </w:r>
      <w:r w:rsidRPr="00CF2878">
        <w:rPr>
          <w:sz w:val="22"/>
          <w:szCs w:val="22"/>
        </w:rPr>
        <w:t>:</w:t>
      </w:r>
    </w:p>
    <w:p w:rsidR="00824E76" w:rsidRDefault="00824E76" w:rsidP="00824E76">
      <w:pPr>
        <w:numPr>
          <w:ilvl w:val="0"/>
          <w:numId w:val="19"/>
        </w:numPr>
        <w:tabs>
          <w:tab w:val="clear" w:pos="1170"/>
          <w:tab w:val="left" w:pos="360"/>
        </w:tabs>
        <w:spacing w:after="60"/>
        <w:ind w:left="360"/>
        <w:outlineLvl w:val="0"/>
        <w:rPr>
          <w:sz w:val="22"/>
          <w:szCs w:val="22"/>
        </w:rPr>
      </w:pPr>
      <w:r>
        <w:rPr>
          <w:sz w:val="22"/>
          <w:szCs w:val="22"/>
        </w:rPr>
        <w:t xml:space="preserve">Cane and </w:t>
      </w:r>
      <w:proofErr w:type="gramStart"/>
      <w:r>
        <w:rPr>
          <w:sz w:val="22"/>
          <w:szCs w:val="22"/>
        </w:rPr>
        <w:t>other</w:t>
      </w:r>
      <w:proofErr w:type="gramEnd"/>
      <w:r>
        <w:rPr>
          <w:sz w:val="22"/>
          <w:szCs w:val="22"/>
        </w:rPr>
        <w:t xml:space="preserve"> biomass receiving,</w:t>
      </w:r>
      <w:r w:rsidRPr="00CF4F5A">
        <w:rPr>
          <w:sz w:val="22"/>
          <w:szCs w:val="22"/>
        </w:rPr>
        <w:t xml:space="preserve"> handling and feeding</w:t>
      </w:r>
      <w:r>
        <w:rPr>
          <w:sz w:val="22"/>
          <w:szCs w:val="22"/>
        </w:rPr>
        <w:t>;</w:t>
      </w:r>
    </w:p>
    <w:p w:rsidR="00824E76" w:rsidRDefault="00824E76" w:rsidP="00824E76">
      <w:pPr>
        <w:numPr>
          <w:ilvl w:val="0"/>
          <w:numId w:val="19"/>
        </w:numPr>
        <w:tabs>
          <w:tab w:val="clear" w:pos="1170"/>
          <w:tab w:val="left" w:pos="360"/>
        </w:tabs>
        <w:spacing w:after="60"/>
        <w:ind w:left="360"/>
        <w:outlineLvl w:val="0"/>
        <w:rPr>
          <w:sz w:val="22"/>
          <w:szCs w:val="22"/>
        </w:rPr>
      </w:pPr>
      <w:r>
        <w:rPr>
          <w:sz w:val="22"/>
          <w:szCs w:val="22"/>
        </w:rPr>
        <w:t>Juice extraction and evaporation;</w:t>
      </w:r>
    </w:p>
    <w:p w:rsidR="00824E76" w:rsidRDefault="00824E76" w:rsidP="00824E76">
      <w:pPr>
        <w:numPr>
          <w:ilvl w:val="0"/>
          <w:numId w:val="19"/>
        </w:numPr>
        <w:tabs>
          <w:tab w:val="clear" w:pos="1170"/>
          <w:tab w:val="left" w:pos="360"/>
        </w:tabs>
        <w:spacing w:after="60"/>
        <w:ind w:left="360"/>
        <w:outlineLvl w:val="0"/>
        <w:rPr>
          <w:sz w:val="22"/>
          <w:szCs w:val="22"/>
        </w:rPr>
      </w:pPr>
      <w:r>
        <w:rPr>
          <w:sz w:val="22"/>
          <w:szCs w:val="22"/>
        </w:rPr>
        <w:t>Ethanol production (including fermentation, distillation and dehydration);</w:t>
      </w:r>
    </w:p>
    <w:p w:rsidR="00824E76" w:rsidRDefault="00824E76" w:rsidP="00824E76">
      <w:pPr>
        <w:numPr>
          <w:ilvl w:val="0"/>
          <w:numId w:val="19"/>
        </w:numPr>
        <w:tabs>
          <w:tab w:val="clear" w:pos="1170"/>
          <w:tab w:val="left" w:pos="360"/>
        </w:tabs>
        <w:spacing w:after="60"/>
        <w:ind w:left="360"/>
        <w:outlineLvl w:val="0"/>
        <w:rPr>
          <w:sz w:val="22"/>
          <w:szCs w:val="22"/>
        </w:rPr>
      </w:pPr>
      <w:r>
        <w:rPr>
          <w:sz w:val="22"/>
          <w:szCs w:val="22"/>
        </w:rPr>
        <w:t>Product storage, blending and loadout; and</w:t>
      </w:r>
    </w:p>
    <w:p w:rsidR="00334001" w:rsidRPr="00724F74" w:rsidRDefault="00824E76" w:rsidP="00724F74">
      <w:pPr>
        <w:numPr>
          <w:ilvl w:val="0"/>
          <w:numId w:val="19"/>
        </w:numPr>
        <w:tabs>
          <w:tab w:val="clear" w:pos="1170"/>
          <w:tab w:val="left" w:pos="360"/>
        </w:tabs>
        <w:spacing w:after="60"/>
        <w:ind w:left="360"/>
        <w:outlineLvl w:val="0"/>
        <w:rPr>
          <w:sz w:val="22"/>
          <w:szCs w:val="22"/>
        </w:rPr>
      </w:pPr>
      <w:r>
        <w:rPr>
          <w:sz w:val="22"/>
          <w:szCs w:val="22"/>
        </w:rPr>
        <w:t>Steam and electrical production</w:t>
      </w:r>
      <w:r w:rsidR="00724F74">
        <w:rPr>
          <w:sz w:val="22"/>
          <w:szCs w:val="22"/>
        </w:rPr>
        <w:t>.</w:t>
      </w:r>
    </w:p>
    <w:p w:rsidR="00CF4EEA" w:rsidRDefault="00CF4EEA" w:rsidP="00020211">
      <w:pPr>
        <w:pStyle w:val="BodyText3"/>
        <w:widowControl w:val="0"/>
        <w:numPr>
          <w:ilvl w:val="12"/>
          <w:numId w:val="0"/>
        </w:numPr>
        <w:spacing w:before="0"/>
        <w:rPr>
          <w:szCs w:val="22"/>
        </w:rPr>
      </w:pPr>
      <w:r w:rsidRPr="00CF4EEA">
        <w:rPr>
          <w:b/>
          <w:szCs w:val="22"/>
        </w:rPr>
        <w:fldChar w:fldCharType="begin"/>
      </w:r>
      <w:r w:rsidRPr="00CF4EEA">
        <w:rPr>
          <w:b/>
          <w:szCs w:val="22"/>
        </w:rPr>
        <w:instrText xml:space="preserve"> REF _Ref487536646 \h </w:instrText>
      </w:r>
      <w:r>
        <w:rPr>
          <w:b/>
          <w:szCs w:val="22"/>
        </w:rPr>
        <w:instrText xml:space="preserve"> \* MERGEFORMAT </w:instrText>
      </w:r>
      <w:r w:rsidRPr="00CF4EEA">
        <w:rPr>
          <w:b/>
          <w:szCs w:val="22"/>
        </w:rPr>
      </w:r>
      <w:r w:rsidRPr="00CF4EEA">
        <w:rPr>
          <w:b/>
          <w:szCs w:val="22"/>
        </w:rPr>
        <w:fldChar w:fldCharType="separate"/>
      </w:r>
      <w:r w:rsidRPr="00CF4EEA">
        <w:rPr>
          <w:b/>
        </w:rPr>
        <w:t xml:space="preserve">Table </w:t>
      </w:r>
      <w:r w:rsidRPr="00CF4EEA">
        <w:rPr>
          <w:b/>
          <w:noProof/>
        </w:rPr>
        <w:t>1</w:t>
      </w:r>
      <w:r w:rsidRPr="00CF4EEA">
        <w:rPr>
          <w:b/>
          <w:szCs w:val="22"/>
        </w:rPr>
        <w:fldChar w:fldCharType="end"/>
      </w:r>
      <w:r w:rsidR="00020211" w:rsidRPr="006E578C">
        <w:rPr>
          <w:szCs w:val="22"/>
        </w:rPr>
        <w:t xml:space="preserve"> indicates </w:t>
      </w:r>
      <w:r w:rsidR="00020211">
        <w:rPr>
          <w:szCs w:val="22"/>
        </w:rPr>
        <w:t xml:space="preserve">the </w:t>
      </w:r>
      <w:r w:rsidR="00020211" w:rsidRPr="006E578C">
        <w:rPr>
          <w:szCs w:val="22"/>
        </w:rPr>
        <w:t xml:space="preserve">emissions units (EU) </w:t>
      </w:r>
      <w:r w:rsidR="00020211">
        <w:rPr>
          <w:szCs w:val="22"/>
        </w:rPr>
        <w:t xml:space="preserve">associated with this </w:t>
      </w:r>
      <w:r w:rsidR="00020211" w:rsidRPr="006E578C">
        <w:rPr>
          <w:szCs w:val="22"/>
        </w:rPr>
        <w:t>project.</w:t>
      </w:r>
      <w:r w:rsidR="00020211">
        <w:rPr>
          <w:szCs w:val="22"/>
        </w:rPr>
        <w:t xml:space="preserve">  </w:t>
      </w:r>
    </w:p>
    <w:p w:rsidR="00CF4EEA" w:rsidRDefault="00CF4EEA" w:rsidP="00CF4EEA">
      <w:pPr>
        <w:pStyle w:val="Caption"/>
        <w:spacing w:before="0"/>
        <w:jc w:val="center"/>
        <w:rPr>
          <w:szCs w:val="22"/>
        </w:rPr>
      </w:pPr>
      <w:bookmarkStart w:id="4" w:name="_Ref487536646"/>
      <w:r>
        <w:t xml:space="preserve">Table </w:t>
      </w:r>
      <w:fldSimple w:instr=" SEQ Table \* ARABIC ">
        <w:r>
          <w:rPr>
            <w:noProof/>
          </w:rPr>
          <w:t>1</w:t>
        </w:r>
      </w:fldSimple>
      <w:bookmarkEnd w:id="4"/>
      <w:r>
        <w:t xml:space="preserve"> -- </w:t>
      </w:r>
      <w:r w:rsidRPr="00D06AE0">
        <w:t>Process Steps Comprising the HEF by EU</w:t>
      </w:r>
      <w:r>
        <w:t>.</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50"/>
        <w:gridCol w:w="8010"/>
      </w:tblGrid>
      <w:tr w:rsidR="00CF4EEA" w:rsidRPr="000B3038" w:rsidTr="00754E79">
        <w:tc>
          <w:tcPr>
            <w:tcW w:w="1350" w:type="dxa"/>
          </w:tcPr>
          <w:p w:rsidR="00CF4EEA" w:rsidRPr="000B3038" w:rsidRDefault="00CF4EEA" w:rsidP="00754E79">
            <w:pPr>
              <w:spacing w:before="40" w:after="40"/>
              <w:jc w:val="center"/>
              <w:rPr>
                <w:b/>
                <w:color w:val="000000" w:themeColor="text1"/>
                <w:sz w:val="22"/>
                <w:szCs w:val="22"/>
              </w:rPr>
            </w:pPr>
            <w:r w:rsidRPr="000B3038">
              <w:rPr>
                <w:b/>
                <w:color w:val="000000" w:themeColor="text1"/>
                <w:sz w:val="22"/>
                <w:szCs w:val="22"/>
              </w:rPr>
              <w:t>EU ID No.</w:t>
            </w:r>
          </w:p>
        </w:tc>
        <w:tc>
          <w:tcPr>
            <w:tcW w:w="8010" w:type="dxa"/>
          </w:tcPr>
          <w:p w:rsidR="00CF4EEA" w:rsidRPr="000B3038" w:rsidRDefault="00CF4EEA" w:rsidP="00754E79">
            <w:pPr>
              <w:spacing w:before="40" w:after="40"/>
              <w:rPr>
                <w:color w:val="000000" w:themeColor="text1"/>
                <w:sz w:val="22"/>
                <w:szCs w:val="22"/>
              </w:rPr>
            </w:pPr>
            <w:r w:rsidRPr="000B3038">
              <w:rPr>
                <w:b/>
                <w:color w:val="000000" w:themeColor="text1"/>
                <w:sz w:val="22"/>
                <w:szCs w:val="22"/>
              </w:rPr>
              <w:t>Emissions Unit Description</w:t>
            </w:r>
          </w:p>
        </w:tc>
      </w:tr>
      <w:tr w:rsidR="00CF4EEA" w:rsidRPr="000B3038" w:rsidTr="00754E79">
        <w:tc>
          <w:tcPr>
            <w:tcW w:w="1350" w:type="dxa"/>
          </w:tcPr>
          <w:p w:rsidR="00CF4EEA" w:rsidRPr="000B3038" w:rsidRDefault="00CF4EEA" w:rsidP="00754E79">
            <w:pPr>
              <w:spacing w:before="40" w:after="40"/>
              <w:jc w:val="center"/>
              <w:rPr>
                <w:color w:val="000000" w:themeColor="text1"/>
                <w:sz w:val="22"/>
                <w:szCs w:val="22"/>
              </w:rPr>
            </w:pPr>
            <w:r w:rsidRPr="000B3038">
              <w:rPr>
                <w:color w:val="000000" w:themeColor="text1"/>
                <w:sz w:val="22"/>
                <w:szCs w:val="22"/>
              </w:rPr>
              <w:t>001</w:t>
            </w:r>
          </w:p>
        </w:tc>
        <w:tc>
          <w:tcPr>
            <w:tcW w:w="8010" w:type="dxa"/>
          </w:tcPr>
          <w:p w:rsidR="00CF4EEA" w:rsidRPr="000B3038" w:rsidRDefault="00CF4EEA" w:rsidP="00CF4EEA">
            <w:pPr>
              <w:spacing w:before="40" w:after="40"/>
              <w:jc w:val="center"/>
              <w:rPr>
                <w:b/>
                <w:color w:val="000000" w:themeColor="text1"/>
                <w:sz w:val="22"/>
                <w:szCs w:val="22"/>
              </w:rPr>
            </w:pPr>
            <w:r>
              <w:rPr>
                <w:color w:val="000000" w:themeColor="text1"/>
                <w:sz w:val="22"/>
                <w:szCs w:val="22"/>
              </w:rPr>
              <w:t xml:space="preserve">Feedstock and Biomass </w:t>
            </w:r>
            <w:r w:rsidRPr="000B3038">
              <w:rPr>
                <w:color w:val="000000" w:themeColor="text1"/>
                <w:sz w:val="22"/>
                <w:szCs w:val="22"/>
              </w:rPr>
              <w:t>Material Handling and Preparation</w:t>
            </w:r>
          </w:p>
        </w:tc>
      </w:tr>
      <w:tr w:rsidR="00CF4EEA" w:rsidRPr="000B3038" w:rsidTr="00754E79">
        <w:tc>
          <w:tcPr>
            <w:tcW w:w="1350" w:type="dxa"/>
          </w:tcPr>
          <w:p w:rsidR="00CF4EEA" w:rsidRPr="000B3038" w:rsidRDefault="00CF4EEA" w:rsidP="00754E79">
            <w:pPr>
              <w:spacing w:before="40" w:after="40"/>
              <w:jc w:val="center"/>
              <w:rPr>
                <w:color w:val="000000" w:themeColor="text1"/>
                <w:sz w:val="22"/>
                <w:szCs w:val="22"/>
              </w:rPr>
            </w:pPr>
            <w:r w:rsidRPr="000B3038">
              <w:rPr>
                <w:color w:val="000000" w:themeColor="text1"/>
                <w:sz w:val="22"/>
                <w:szCs w:val="22"/>
              </w:rPr>
              <w:t>002</w:t>
            </w:r>
          </w:p>
        </w:tc>
        <w:tc>
          <w:tcPr>
            <w:tcW w:w="8010" w:type="dxa"/>
          </w:tcPr>
          <w:p w:rsidR="00CF4EEA" w:rsidRPr="000B3038" w:rsidRDefault="00CF4EEA" w:rsidP="00754E79">
            <w:pPr>
              <w:spacing w:before="40" w:after="40"/>
              <w:rPr>
                <w:color w:val="000000" w:themeColor="text1"/>
                <w:sz w:val="22"/>
                <w:szCs w:val="22"/>
              </w:rPr>
            </w:pPr>
            <w:r w:rsidRPr="000B3038">
              <w:rPr>
                <w:color w:val="000000" w:themeColor="text1"/>
                <w:sz w:val="22"/>
                <w:szCs w:val="22"/>
              </w:rPr>
              <w:t>Biomass Boiler</w:t>
            </w:r>
          </w:p>
        </w:tc>
      </w:tr>
      <w:tr w:rsidR="00CF4EEA" w:rsidRPr="000B3038" w:rsidTr="00754E79">
        <w:tc>
          <w:tcPr>
            <w:tcW w:w="1350" w:type="dxa"/>
          </w:tcPr>
          <w:p w:rsidR="00CF4EEA" w:rsidRPr="000B3038" w:rsidRDefault="00CF4EEA" w:rsidP="00754E79">
            <w:pPr>
              <w:spacing w:before="40" w:after="40"/>
              <w:jc w:val="center"/>
              <w:rPr>
                <w:color w:val="000000" w:themeColor="text1"/>
                <w:sz w:val="22"/>
                <w:szCs w:val="22"/>
              </w:rPr>
            </w:pPr>
            <w:r w:rsidRPr="000B3038">
              <w:rPr>
                <w:color w:val="000000" w:themeColor="text1"/>
                <w:sz w:val="22"/>
                <w:szCs w:val="22"/>
              </w:rPr>
              <w:t>003</w:t>
            </w:r>
          </w:p>
        </w:tc>
        <w:tc>
          <w:tcPr>
            <w:tcW w:w="8010" w:type="dxa"/>
          </w:tcPr>
          <w:p w:rsidR="00CF4EEA" w:rsidRPr="000B3038" w:rsidRDefault="00CF4EEA" w:rsidP="00754E79">
            <w:pPr>
              <w:spacing w:before="40" w:after="40"/>
              <w:rPr>
                <w:bCs/>
                <w:color w:val="000000" w:themeColor="text1"/>
                <w:sz w:val="22"/>
                <w:szCs w:val="22"/>
              </w:rPr>
            </w:pPr>
            <w:r w:rsidRPr="000B3038">
              <w:rPr>
                <w:color w:val="000000" w:themeColor="text1"/>
                <w:sz w:val="22"/>
                <w:szCs w:val="22"/>
              </w:rPr>
              <w:t>Cooling Tower</w:t>
            </w:r>
            <w:r>
              <w:rPr>
                <w:color w:val="000000" w:themeColor="text1"/>
                <w:sz w:val="22"/>
                <w:szCs w:val="22"/>
              </w:rPr>
              <w:t>s</w:t>
            </w:r>
          </w:p>
        </w:tc>
      </w:tr>
      <w:tr w:rsidR="00CF4EEA" w:rsidRPr="000B3038" w:rsidTr="00754E79">
        <w:tc>
          <w:tcPr>
            <w:tcW w:w="1350" w:type="dxa"/>
          </w:tcPr>
          <w:p w:rsidR="00CF4EEA" w:rsidRPr="000B3038" w:rsidRDefault="00CF4EEA" w:rsidP="00754E79">
            <w:pPr>
              <w:spacing w:before="40" w:after="40"/>
              <w:jc w:val="center"/>
              <w:rPr>
                <w:color w:val="000000" w:themeColor="text1"/>
                <w:sz w:val="22"/>
                <w:szCs w:val="22"/>
              </w:rPr>
            </w:pPr>
            <w:r w:rsidRPr="000B3038">
              <w:rPr>
                <w:color w:val="000000" w:themeColor="text1"/>
                <w:sz w:val="22"/>
                <w:szCs w:val="22"/>
              </w:rPr>
              <w:t>004</w:t>
            </w:r>
          </w:p>
        </w:tc>
        <w:tc>
          <w:tcPr>
            <w:tcW w:w="8010" w:type="dxa"/>
          </w:tcPr>
          <w:p w:rsidR="00CF4EEA" w:rsidRPr="000B3038" w:rsidRDefault="00CF4EEA" w:rsidP="00754E79">
            <w:pPr>
              <w:spacing w:before="40" w:after="40"/>
              <w:rPr>
                <w:color w:val="000000" w:themeColor="text1"/>
                <w:sz w:val="22"/>
                <w:szCs w:val="22"/>
              </w:rPr>
            </w:pPr>
            <w:r w:rsidRPr="000B3038">
              <w:rPr>
                <w:color w:val="000000" w:themeColor="text1"/>
                <w:sz w:val="22"/>
                <w:szCs w:val="22"/>
              </w:rPr>
              <w:t>Ethanol Production Process</w:t>
            </w:r>
          </w:p>
        </w:tc>
      </w:tr>
      <w:tr w:rsidR="00CF4EEA" w:rsidRPr="000B3038" w:rsidTr="00754E79">
        <w:tc>
          <w:tcPr>
            <w:tcW w:w="1350" w:type="dxa"/>
          </w:tcPr>
          <w:p w:rsidR="00CF4EEA" w:rsidRPr="000B3038" w:rsidRDefault="00CF4EEA" w:rsidP="00754E79">
            <w:pPr>
              <w:spacing w:before="40" w:after="40"/>
              <w:jc w:val="center"/>
              <w:rPr>
                <w:color w:val="000000" w:themeColor="text1"/>
                <w:sz w:val="22"/>
                <w:szCs w:val="22"/>
              </w:rPr>
            </w:pPr>
            <w:r>
              <w:rPr>
                <w:color w:val="000000" w:themeColor="text1"/>
                <w:sz w:val="22"/>
                <w:szCs w:val="22"/>
              </w:rPr>
              <w:t>005</w:t>
            </w:r>
          </w:p>
        </w:tc>
        <w:tc>
          <w:tcPr>
            <w:tcW w:w="8010" w:type="dxa"/>
          </w:tcPr>
          <w:p w:rsidR="00CF4EEA" w:rsidRPr="000B3038" w:rsidRDefault="00CF4EEA" w:rsidP="00754E79">
            <w:pPr>
              <w:spacing w:before="40" w:after="40"/>
              <w:rPr>
                <w:color w:val="000000" w:themeColor="text1"/>
                <w:sz w:val="22"/>
                <w:szCs w:val="22"/>
              </w:rPr>
            </w:pPr>
            <w:r w:rsidRPr="000B3038">
              <w:rPr>
                <w:color w:val="000000" w:themeColor="text1"/>
                <w:sz w:val="22"/>
                <w:szCs w:val="22"/>
              </w:rPr>
              <w:t>Product Loadout and Flare</w:t>
            </w:r>
          </w:p>
        </w:tc>
      </w:tr>
      <w:tr w:rsidR="00CF4EEA" w:rsidRPr="000B3038" w:rsidTr="00754E79">
        <w:tc>
          <w:tcPr>
            <w:tcW w:w="1350" w:type="dxa"/>
          </w:tcPr>
          <w:p w:rsidR="00CF4EEA" w:rsidRDefault="00CF4EEA" w:rsidP="00754E79">
            <w:pPr>
              <w:spacing w:before="40" w:after="40"/>
              <w:jc w:val="center"/>
              <w:rPr>
                <w:color w:val="000000" w:themeColor="text1"/>
                <w:sz w:val="22"/>
                <w:szCs w:val="22"/>
              </w:rPr>
            </w:pPr>
            <w:r>
              <w:rPr>
                <w:color w:val="000000" w:themeColor="text1"/>
                <w:sz w:val="22"/>
                <w:szCs w:val="22"/>
              </w:rPr>
              <w:t>006</w:t>
            </w:r>
          </w:p>
        </w:tc>
        <w:tc>
          <w:tcPr>
            <w:tcW w:w="8010" w:type="dxa"/>
          </w:tcPr>
          <w:p w:rsidR="00CF4EEA" w:rsidRPr="000B3038" w:rsidRDefault="00CF4EEA" w:rsidP="00754E79">
            <w:pPr>
              <w:spacing w:before="40" w:after="40"/>
              <w:rPr>
                <w:color w:val="000000" w:themeColor="text1"/>
                <w:sz w:val="22"/>
                <w:szCs w:val="22"/>
              </w:rPr>
            </w:pPr>
            <w:r>
              <w:rPr>
                <w:color w:val="000000" w:themeColor="text1"/>
                <w:sz w:val="22"/>
                <w:szCs w:val="22"/>
              </w:rPr>
              <w:t>Storage Tanks</w:t>
            </w:r>
          </w:p>
        </w:tc>
      </w:tr>
      <w:tr w:rsidR="00CF4EEA" w:rsidRPr="000B3038" w:rsidTr="00754E79">
        <w:tc>
          <w:tcPr>
            <w:tcW w:w="1350" w:type="dxa"/>
          </w:tcPr>
          <w:p w:rsidR="00CF4EEA" w:rsidRPr="00665D07" w:rsidRDefault="00CF4EEA" w:rsidP="00754E79">
            <w:pPr>
              <w:spacing w:before="40" w:after="40"/>
              <w:jc w:val="center"/>
              <w:rPr>
                <w:color w:val="000000" w:themeColor="text1"/>
                <w:sz w:val="22"/>
                <w:szCs w:val="22"/>
              </w:rPr>
            </w:pPr>
            <w:r w:rsidRPr="00665D07">
              <w:rPr>
                <w:color w:val="000000" w:themeColor="text1"/>
                <w:sz w:val="22"/>
                <w:szCs w:val="22"/>
              </w:rPr>
              <w:t>007</w:t>
            </w:r>
          </w:p>
        </w:tc>
        <w:tc>
          <w:tcPr>
            <w:tcW w:w="8010" w:type="dxa"/>
          </w:tcPr>
          <w:p w:rsidR="00CF4EEA" w:rsidRPr="00665D07" w:rsidRDefault="00CF4EEA" w:rsidP="00754E79">
            <w:pPr>
              <w:spacing w:before="40" w:after="40"/>
              <w:rPr>
                <w:color w:val="000000" w:themeColor="text1"/>
                <w:sz w:val="22"/>
                <w:szCs w:val="22"/>
              </w:rPr>
            </w:pPr>
            <w:r w:rsidRPr="00665D07">
              <w:rPr>
                <w:color w:val="000000" w:themeColor="text1"/>
                <w:sz w:val="22"/>
                <w:szCs w:val="22"/>
              </w:rPr>
              <w:t>Miscellaneous Storage Silos</w:t>
            </w:r>
          </w:p>
        </w:tc>
      </w:tr>
      <w:tr w:rsidR="00CF4EEA" w:rsidRPr="000B3038" w:rsidTr="00754E79">
        <w:tc>
          <w:tcPr>
            <w:tcW w:w="1350" w:type="dxa"/>
          </w:tcPr>
          <w:p w:rsidR="00CF4EEA" w:rsidRPr="00665D07" w:rsidRDefault="00CF4EEA" w:rsidP="00754E79">
            <w:pPr>
              <w:spacing w:before="40" w:after="40"/>
              <w:jc w:val="center"/>
              <w:rPr>
                <w:color w:val="000000" w:themeColor="text1"/>
                <w:sz w:val="22"/>
                <w:szCs w:val="22"/>
              </w:rPr>
            </w:pPr>
            <w:r w:rsidRPr="00665D07">
              <w:rPr>
                <w:color w:val="000000" w:themeColor="text1"/>
                <w:sz w:val="22"/>
                <w:szCs w:val="22"/>
              </w:rPr>
              <w:t>008</w:t>
            </w:r>
          </w:p>
        </w:tc>
        <w:tc>
          <w:tcPr>
            <w:tcW w:w="8010" w:type="dxa"/>
          </w:tcPr>
          <w:p w:rsidR="00CF4EEA" w:rsidRPr="00665D07" w:rsidRDefault="00CF4EEA" w:rsidP="00754E79">
            <w:pPr>
              <w:spacing w:before="40" w:after="40"/>
              <w:rPr>
                <w:color w:val="000000" w:themeColor="text1"/>
                <w:sz w:val="22"/>
                <w:szCs w:val="22"/>
              </w:rPr>
            </w:pPr>
            <w:r w:rsidRPr="00665D07">
              <w:rPr>
                <w:color w:val="000000" w:themeColor="text1"/>
                <w:sz w:val="22"/>
                <w:szCs w:val="22"/>
              </w:rPr>
              <w:t xml:space="preserve">Emergency Equipment </w:t>
            </w:r>
          </w:p>
        </w:tc>
      </w:tr>
      <w:tr w:rsidR="00CF4EEA" w:rsidRPr="000B3038" w:rsidTr="00754E79">
        <w:tc>
          <w:tcPr>
            <w:tcW w:w="1350" w:type="dxa"/>
          </w:tcPr>
          <w:p w:rsidR="00CF4EEA" w:rsidRPr="00665D07" w:rsidRDefault="00CF4EEA" w:rsidP="00754E79">
            <w:pPr>
              <w:spacing w:before="40" w:after="40"/>
              <w:jc w:val="center"/>
              <w:rPr>
                <w:color w:val="000000" w:themeColor="text1"/>
                <w:sz w:val="22"/>
                <w:szCs w:val="22"/>
              </w:rPr>
            </w:pPr>
            <w:r w:rsidRPr="00665D07">
              <w:rPr>
                <w:color w:val="000000" w:themeColor="text1"/>
                <w:sz w:val="22"/>
                <w:szCs w:val="22"/>
              </w:rPr>
              <w:t>009</w:t>
            </w:r>
          </w:p>
        </w:tc>
        <w:tc>
          <w:tcPr>
            <w:tcW w:w="8010" w:type="dxa"/>
          </w:tcPr>
          <w:p w:rsidR="00CF4EEA" w:rsidRPr="00665D07" w:rsidRDefault="00CF4EEA" w:rsidP="00754E79">
            <w:pPr>
              <w:spacing w:before="40" w:after="40"/>
              <w:rPr>
                <w:color w:val="000000" w:themeColor="text1"/>
                <w:sz w:val="22"/>
                <w:szCs w:val="22"/>
              </w:rPr>
            </w:pPr>
            <w:r w:rsidRPr="00665D07">
              <w:rPr>
                <w:color w:val="000000" w:themeColor="text1"/>
                <w:sz w:val="22"/>
                <w:szCs w:val="22"/>
              </w:rPr>
              <w:t>Facility-Wide Fugitive Volatile Organic Compounds (VOC) Equipment Leaks</w:t>
            </w:r>
          </w:p>
        </w:tc>
      </w:tr>
    </w:tbl>
    <w:p w:rsidR="00CF4EEA" w:rsidRPr="00691BCD" w:rsidRDefault="00CF4EEA" w:rsidP="00CF4EEA">
      <w:pPr>
        <w:pStyle w:val="BodyText2"/>
        <w:widowControl w:val="0"/>
        <w:numPr>
          <w:ilvl w:val="0"/>
          <w:numId w:val="0"/>
        </w:numPr>
        <w:spacing w:before="120"/>
        <w:jc w:val="left"/>
        <w:rPr>
          <w:szCs w:val="22"/>
        </w:rPr>
      </w:pPr>
      <w:r>
        <w:rPr>
          <w:szCs w:val="22"/>
        </w:rPr>
        <w:t>The proposed facility is essentially unchanged since the original air permit application.  The original BACT determination is included in the original Technical Evaluation and Preliminary Determination and the original permit for the project</w:t>
      </w:r>
      <w:r>
        <w:rPr>
          <w:rStyle w:val="FootnoteReference"/>
          <w:szCs w:val="22"/>
        </w:rPr>
        <w:footnoteReference w:id="2"/>
      </w:r>
      <w:r>
        <w:rPr>
          <w:szCs w:val="22"/>
        </w:rPr>
        <w:t>.  However, since that permit was issued, several changes have been made to the PSD permitting process.  When the original permit was issued, the Department had not yet adopted particulate matter with aerodynamic diameter less than 2.5 micrometers (PM</w:t>
      </w:r>
      <w:r w:rsidRPr="00162CFD">
        <w:rPr>
          <w:szCs w:val="22"/>
          <w:vertAlign w:val="subscript"/>
        </w:rPr>
        <w:t>2.5</w:t>
      </w:r>
      <w:r>
        <w:rPr>
          <w:szCs w:val="22"/>
        </w:rPr>
        <w:t>) as a separate PSD pollutant.  Furthermore, the Department now includes condensable PM in calculations of PM</w:t>
      </w:r>
      <w:r w:rsidRPr="00162CFD">
        <w:rPr>
          <w:szCs w:val="22"/>
          <w:vertAlign w:val="subscript"/>
        </w:rPr>
        <w:t>2.5</w:t>
      </w:r>
      <w:r>
        <w:rPr>
          <w:szCs w:val="22"/>
        </w:rPr>
        <w:t xml:space="preserve"> and PM</w:t>
      </w:r>
      <w:r w:rsidRPr="00162CFD">
        <w:rPr>
          <w:szCs w:val="22"/>
          <w:vertAlign w:val="subscript"/>
        </w:rPr>
        <w:t>10</w:t>
      </w:r>
      <w:r>
        <w:rPr>
          <w:szCs w:val="22"/>
        </w:rPr>
        <w:t xml:space="preserve"> (PM with aerodynamic diameter less than 10 micrometers).  Additionally, greenhouse gases (GHGs) are now included as a PSD pollutant.  Finally, the applicant has decided not to adopt synthetic limits to keep its status as an area source of HAP, rather than a major source of HAP.  </w:t>
      </w:r>
      <w:proofErr w:type="gramStart"/>
      <w:r>
        <w:rPr>
          <w:szCs w:val="22"/>
        </w:rPr>
        <w:t>As a result of</w:t>
      </w:r>
      <w:proofErr w:type="gramEnd"/>
      <w:r>
        <w:rPr>
          <w:szCs w:val="22"/>
        </w:rPr>
        <w:t xml:space="preserve"> its status as a major source of HAP, this facility with be subject to the “Boiler MACT” in 40 CFR 63, Subpart DDDDD, rather than the limits to maintain synthetic area-source status from the original permit.</w:t>
      </w:r>
    </w:p>
    <w:p w:rsidR="00020211" w:rsidRDefault="00AB2A83" w:rsidP="00020211">
      <w:pPr>
        <w:pStyle w:val="BodyText3"/>
        <w:widowControl w:val="0"/>
        <w:numPr>
          <w:ilvl w:val="12"/>
          <w:numId w:val="0"/>
        </w:numPr>
        <w:spacing w:before="0"/>
        <w:rPr>
          <w:szCs w:val="22"/>
        </w:rPr>
      </w:pPr>
      <w:r w:rsidRPr="00AB2A83">
        <w:rPr>
          <w:szCs w:val="22"/>
          <w:highlight w:val="yellow"/>
        </w:rPr>
        <w:fldChar w:fldCharType="begin"/>
      </w:r>
      <w:r w:rsidRPr="00AB2A83">
        <w:rPr>
          <w:szCs w:val="22"/>
        </w:rPr>
        <w:instrText xml:space="preserve"> REF _Ref479082844 \h </w:instrText>
      </w:r>
      <w:r>
        <w:rPr>
          <w:szCs w:val="22"/>
          <w:highlight w:val="yellow"/>
        </w:rPr>
        <w:instrText xml:space="preserve"> \* MERGEFORMAT </w:instrText>
      </w:r>
      <w:r w:rsidRPr="00AB2A83">
        <w:rPr>
          <w:szCs w:val="22"/>
          <w:highlight w:val="yellow"/>
        </w:rPr>
      </w:r>
      <w:r w:rsidRPr="00AB2A83">
        <w:rPr>
          <w:szCs w:val="22"/>
          <w:highlight w:val="yellow"/>
        </w:rPr>
        <w:fldChar w:fldCharType="separate"/>
      </w:r>
      <w:r w:rsidR="005A4C55" w:rsidRPr="00162CFD">
        <w:rPr>
          <w:rFonts w:ascii="Times New Roman Bold" w:hAnsi="Times New Roman Bold"/>
        </w:rPr>
        <w:t xml:space="preserve">Figure </w:t>
      </w:r>
      <w:r w:rsidR="005A4C55" w:rsidRPr="005A4C55">
        <w:rPr>
          <w:rFonts w:ascii="Times New Roman Bold" w:hAnsi="Times New Roman Bold"/>
          <w:noProof/>
        </w:rPr>
        <w:t>3</w:t>
      </w:r>
      <w:r w:rsidRPr="00AB2A83">
        <w:rPr>
          <w:szCs w:val="22"/>
          <w:highlight w:val="yellow"/>
        </w:rPr>
        <w:fldChar w:fldCharType="end"/>
      </w:r>
      <w:r w:rsidR="00020211">
        <w:rPr>
          <w:szCs w:val="22"/>
        </w:rPr>
        <w:t>, provided by HEF, is a simplified process flow diagram for the project w</w:t>
      </w:r>
      <w:r w:rsidR="00162CFD">
        <w:rPr>
          <w:szCs w:val="22"/>
        </w:rPr>
        <w:t>ith only the key EU indicated.</w:t>
      </w:r>
    </w:p>
    <w:p w:rsidR="004E318E" w:rsidRDefault="00CF4EEA" w:rsidP="004E318E">
      <w:pPr>
        <w:pStyle w:val="BodyText3"/>
        <w:widowControl w:val="0"/>
        <w:numPr>
          <w:ilvl w:val="12"/>
          <w:numId w:val="0"/>
        </w:numPr>
        <w:spacing w:before="0"/>
        <w:jc w:val="center"/>
        <w:rPr>
          <w:szCs w:val="22"/>
        </w:rPr>
      </w:pPr>
      <w:r>
        <w:rPr>
          <w:noProof/>
          <w:szCs w:val="22"/>
        </w:rPr>
        <w:lastRenderedPageBreak/>
        <mc:AlternateContent>
          <mc:Choice Requires="wps">
            <w:drawing>
              <wp:anchor distT="0" distB="0" distL="114300" distR="114300" simplePos="0" relativeHeight="251693056" behindDoc="0" locked="0" layoutInCell="1" allowOverlap="1" wp14:anchorId="13C4C5D1" wp14:editId="7EE5A8AE">
                <wp:simplePos x="0" y="0"/>
                <wp:positionH relativeFrom="column">
                  <wp:posOffset>5446202</wp:posOffset>
                </wp:positionH>
                <wp:positionV relativeFrom="paragraph">
                  <wp:posOffset>939469</wp:posOffset>
                </wp:positionV>
                <wp:extent cx="381000" cy="219075"/>
                <wp:effectExtent l="9525" t="12065" r="9525" b="6985"/>
                <wp:wrapNone/>
                <wp:docPr id="177"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19075"/>
                        </a:xfrm>
                        <a:prstGeom prst="rect">
                          <a:avLst/>
                        </a:prstGeom>
                        <a:solidFill>
                          <a:srgbClr val="FFFFFF"/>
                        </a:solidFill>
                        <a:ln w="9525">
                          <a:solidFill>
                            <a:srgbClr val="000000"/>
                          </a:solidFill>
                          <a:miter lim="800000"/>
                          <a:headEnd/>
                          <a:tailEnd/>
                        </a:ln>
                      </wps:spPr>
                      <wps:txbx>
                        <w:txbxContent>
                          <w:p w:rsidR="004E318E" w:rsidRPr="003C3588" w:rsidRDefault="004E318E" w:rsidP="004E318E">
                            <w:pPr>
                              <w:rPr>
                                <w:rFonts w:ascii="Arial" w:hAnsi="Arial"/>
                                <w:b/>
                                <w:sz w:val="16"/>
                              </w:rPr>
                            </w:pPr>
                            <w:r w:rsidRPr="003C3588">
                              <w:rPr>
                                <w:rFonts w:ascii="Arial" w:hAnsi="Arial"/>
                                <w:b/>
                                <w:sz w:val="16"/>
                              </w:rPr>
                              <w:t>001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C4C5D1" id="Text Box 177" o:spid="_x0000_s1027" type="#_x0000_t202" style="position:absolute;left:0;text-align:left;margin-left:428.85pt;margin-top:73.95pt;width:30pt;height:17.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">
                <v:textbox>
                  <w:txbxContent>
                    <w:p w:rsidR="004E318E" w:rsidRPr="003C3588" w:rsidRDefault="004E318E" w:rsidP="004E318E">
                      <w:pPr>
                        <w:rPr>
                          <w:rFonts w:ascii="Arial" w:hAnsi="Arial"/>
                          <w:b/>
                          <w:sz w:val="16"/>
                        </w:rPr>
                      </w:pPr>
                      <w:r w:rsidRPr="003C3588">
                        <w:rPr>
                          <w:rFonts w:ascii="Arial" w:hAnsi="Arial"/>
                          <w:b/>
                          <w:sz w:val="16"/>
                        </w:rPr>
                        <w:t>001</w:t>
                      </w:r>
                    </w:p>
                  </w:txbxContent>
                </v:textbox>
              </v:shape>
            </w:pict>
          </mc:Fallback>
        </mc:AlternateContent>
      </w:r>
      <w:r w:rsidR="004E318E">
        <w:rPr>
          <w:noProof/>
          <w:szCs w:val="22"/>
        </w:rPr>
        <mc:AlternateContent>
          <mc:Choice Requires="wps">
            <w:drawing>
              <wp:anchor distT="0" distB="0" distL="114300" distR="114300" simplePos="0" relativeHeight="251686912" behindDoc="0" locked="0" layoutInCell="1" allowOverlap="1" wp14:anchorId="1FC24CA9" wp14:editId="7C03BED1">
                <wp:simplePos x="0" y="0"/>
                <wp:positionH relativeFrom="column">
                  <wp:posOffset>4205577</wp:posOffset>
                </wp:positionH>
                <wp:positionV relativeFrom="paragraph">
                  <wp:posOffset>948083</wp:posOffset>
                </wp:positionV>
                <wp:extent cx="381000" cy="238125"/>
                <wp:effectExtent l="0" t="0" r="0" b="9525"/>
                <wp:wrapNone/>
                <wp:docPr id="174"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3C3588" w:rsidRDefault="004E318E" w:rsidP="004E318E">
                            <w:pPr>
                              <w:rPr>
                                <w:rFonts w:ascii="Arial" w:hAnsi="Arial"/>
                                <w:b/>
                                <w:sz w:val="16"/>
                              </w:rPr>
                            </w:pPr>
                            <w:r w:rsidRPr="003C3588">
                              <w:rPr>
                                <w:rFonts w:ascii="Arial" w:hAnsi="Arial"/>
                                <w:b/>
                                <w:sz w:val="16"/>
                              </w:rPr>
                              <w:t>00</w:t>
                            </w:r>
                            <w:r>
                              <w:rPr>
                                <w:rFonts w:ascii="Arial" w:hAnsi="Arial"/>
                                <w:b/>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C24CA9" id="Text Box 174" o:spid="_x0000_s1028" type="#_x0000_t202" style="position:absolute;left:0;text-align:left;margin-left:331.15pt;margin-top:74.65pt;width:30pt;height:18.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" filled="f" stroked="f">
                <v:textbox>
                  <w:txbxContent>
                    <w:p w:rsidR="004E318E" w:rsidRPr="003C3588" w:rsidRDefault="004E318E" w:rsidP="004E318E">
                      <w:pPr>
                        <w:rPr>
                          <w:rFonts w:ascii="Arial" w:hAnsi="Arial"/>
                          <w:b/>
                          <w:sz w:val="16"/>
                        </w:rPr>
                      </w:pPr>
                      <w:r w:rsidRPr="003C3588">
                        <w:rPr>
                          <w:rFonts w:ascii="Arial" w:hAnsi="Arial"/>
                          <w:b/>
                          <w:sz w:val="16"/>
                        </w:rPr>
                        <w:t>00</w:t>
                      </w:r>
                      <w:r>
                        <w:rPr>
                          <w:rFonts w:ascii="Arial" w:hAnsi="Arial"/>
                          <w:b/>
                          <w:sz w:val="16"/>
                        </w:rPr>
                        <w:t>2</w:t>
                      </w:r>
                    </w:p>
                  </w:txbxContent>
                </v:textbox>
              </v:shape>
            </w:pict>
          </mc:Fallback>
        </mc:AlternateContent>
      </w:r>
      <w:r w:rsidR="004E318E">
        <w:rPr>
          <w:noProof/>
          <w:szCs w:val="22"/>
        </w:rPr>
        <mc:AlternateContent>
          <mc:Choice Requires="wps">
            <w:drawing>
              <wp:anchor distT="0" distB="0" distL="114300" distR="114300" simplePos="0" relativeHeight="251691008" behindDoc="0" locked="0" layoutInCell="1" allowOverlap="1" wp14:anchorId="7D9C6FFB" wp14:editId="7580DEA0">
                <wp:simplePos x="0" y="0"/>
                <wp:positionH relativeFrom="column">
                  <wp:posOffset>5453877</wp:posOffset>
                </wp:positionH>
                <wp:positionV relativeFrom="paragraph">
                  <wp:posOffset>1584021</wp:posOffset>
                </wp:positionV>
                <wp:extent cx="381000" cy="219075"/>
                <wp:effectExtent l="5715" t="5715" r="13335" b="13335"/>
                <wp:wrapNone/>
                <wp:docPr id="176"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19075"/>
                        </a:xfrm>
                        <a:prstGeom prst="rect">
                          <a:avLst/>
                        </a:prstGeom>
                        <a:solidFill>
                          <a:srgbClr val="FFFFFF"/>
                        </a:solidFill>
                        <a:ln w="9525">
                          <a:solidFill>
                            <a:srgbClr val="000000"/>
                          </a:solidFill>
                          <a:miter lim="800000"/>
                          <a:headEnd/>
                          <a:tailEnd/>
                        </a:ln>
                      </wps:spPr>
                      <wps:txbx>
                        <w:txbxContent>
                          <w:p w:rsidR="004E318E" w:rsidRPr="003C3588" w:rsidRDefault="004E318E" w:rsidP="004E318E">
                            <w:pPr>
                              <w:rPr>
                                <w:rFonts w:ascii="Arial" w:hAnsi="Arial"/>
                                <w:b/>
                                <w:sz w:val="16"/>
                              </w:rPr>
                            </w:pPr>
                            <w:r>
                              <w:rPr>
                                <w:rFonts w:ascii="Arial" w:hAnsi="Arial"/>
                                <w:b/>
                                <w:sz w:val="16"/>
                              </w:rPr>
                              <w:t>003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9C6FFB" id="Text Box 176" o:spid="_x0000_s1029" type="#_x0000_t202" style="position:absolute;left:0;text-align:left;margin-left:429.45pt;margin-top:124.75pt;width:30pt;height:17.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">
                <v:textbox>
                  <w:txbxContent>
                    <w:p w:rsidR="004E318E" w:rsidRPr="003C3588" w:rsidRDefault="004E318E" w:rsidP="004E318E">
                      <w:pPr>
                        <w:rPr>
                          <w:rFonts w:ascii="Arial" w:hAnsi="Arial"/>
                          <w:b/>
                          <w:sz w:val="16"/>
                        </w:rPr>
                      </w:pPr>
                      <w:r>
                        <w:rPr>
                          <w:rFonts w:ascii="Arial" w:hAnsi="Arial"/>
                          <w:b/>
                          <w:sz w:val="16"/>
                        </w:rPr>
                        <w:t>003</w:t>
                      </w:r>
                    </w:p>
                  </w:txbxContent>
                </v:textbox>
              </v:shape>
            </w:pict>
          </mc:Fallback>
        </mc:AlternateContent>
      </w:r>
      <w:r w:rsidR="004E318E">
        <w:rPr>
          <w:noProof/>
          <w:szCs w:val="22"/>
        </w:rPr>
        <mc:AlternateContent>
          <mc:Choice Requires="wps">
            <w:drawing>
              <wp:anchor distT="0" distB="0" distL="114300" distR="114300" simplePos="0" relativeHeight="251688960" behindDoc="0" locked="0" layoutInCell="1" allowOverlap="1" wp14:anchorId="6C39EFE1" wp14:editId="05B48433">
                <wp:simplePos x="0" y="0"/>
                <wp:positionH relativeFrom="column">
                  <wp:posOffset>4786547</wp:posOffset>
                </wp:positionH>
                <wp:positionV relativeFrom="paragraph">
                  <wp:posOffset>3015532</wp:posOffset>
                </wp:positionV>
                <wp:extent cx="381000" cy="219075"/>
                <wp:effectExtent l="10160" t="5715" r="8890" b="13335"/>
                <wp:wrapNone/>
                <wp:docPr id="175"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19075"/>
                        </a:xfrm>
                        <a:prstGeom prst="rect">
                          <a:avLst/>
                        </a:prstGeom>
                        <a:solidFill>
                          <a:srgbClr val="FFFFFF"/>
                        </a:solidFill>
                        <a:ln w="9525">
                          <a:solidFill>
                            <a:srgbClr val="000000"/>
                          </a:solidFill>
                          <a:miter lim="800000"/>
                          <a:headEnd/>
                          <a:tailEnd/>
                        </a:ln>
                      </wps:spPr>
                      <wps:txbx>
                        <w:txbxContent>
                          <w:p w:rsidR="004E318E" w:rsidRPr="003C3588" w:rsidRDefault="004E318E" w:rsidP="004E318E">
                            <w:pPr>
                              <w:rPr>
                                <w:rFonts w:ascii="Arial" w:hAnsi="Arial"/>
                                <w:b/>
                                <w:sz w:val="16"/>
                              </w:rPr>
                            </w:pPr>
                            <w:r w:rsidRPr="003C3588">
                              <w:rPr>
                                <w:rFonts w:ascii="Arial" w:hAnsi="Arial"/>
                                <w:b/>
                                <w:sz w:val="16"/>
                              </w:rPr>
                              <w:t>00</w:t>
                            </w:r>
                            <w:r>
                              <w:rPr>
                                <w:rFonts w:ascii="Arial" w:hAnsi="Arial"/>
                                <w:b/>
                                <w:sz w:val="16"/>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39EFE1" id="Text Box 175" o:spid="_x0000_s1030" type="#_x0000_t202" style="position:absolute;left:0;text-align:left;margin-left:376.9pt;margin-top:237.45pt;width:30pt;height:17.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">
                <v:textbox>
                  <w:txbxContent>
                    <w:p w:rsidR="004E318E" w:rsidRPr="003C3588" w:rsidRDefault="004E318E" w:rsidP="004E318E">
                      <w:pPr>
                        <w:rPr>
                          <w:rFonts w:ascii="Arial" w:hAnsi="Arial"/>
                          <w:b/>
                          <w:sz w:val="16"/>
                        </w:rPr>
                      </w:pPr>
                      <w:r w:rsidRPr="003C3588">
                        <w:rPr>
                          <w:rFonts w:ascii="Arial" w:hAnsi="Arial"/>
                          <w:b/>
                          <w:sz w:val="16"/>
                        </w:rPr>
                        <w:t>00</w:t>
                      </w:r>
                      <w:r>
                        <w:rPr>
                          <w:rFonts w:ascii="Arial" w:hAnsi="Arial"/>
                          <w:b/>
                          <w:sz w:val="16"/>
                        </w:rPr>
                        <w:t>6</w:t>
                      </w:r>
                    </w:p>
                  </w:txbxContent>
                </v:textbox>
              </v:shape>
            </w:pict>
          </mc:Fallback>
        </mc:AlternateContent>
      </w:r>
      <w:r w:rsidR="004E318E">
        <w:rPr>
          <w:noProof/>
          <w:szCs w:val="22"/>
        </w:rPr>
        <mc:AlternateContent>
          <mc:Choice Requires="wps">
            <w:drawing>
              <wp:anchor distT="0" distB="0" distL="114300" distR="114300" simplePos="0" relativeHeight="251684864" behindDoc="0" locked="0" layoutInCell="1" allowOverlap="1" wp14:anchorId="79A7F4B2" wp14:editId="3B635297">
                <wp:simplePos x="0" y="0"/>
                <wp:positionH relativeFrom="column">
                  <wp:posOffset>2615123</wp:posOffset>
                </wp:positionH>
                <wp:positionV relativeFrom="paragraph">
                  <wp:posOffset>1949477</wp:posOffset>
                </wp:positionV>
                <wp:extent cx="381000" cy="219075"/>
                <wp:effectExtent l="0" t="2540" r="3810" b="0"/>
                <wp:wrapNone/>
                <wp:docPr id="173"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3C3588" w:rsidRDefault="004E318E" w:rsidP="004E318E">
                            <w:pPr>
                              <w:rPr>
                                <w:rFonts w:ascii="Arial" w:hAnsi="Arial"/>
                                <w:b/>
                                <w:sz w:val="16"/>
                              </w:rPr>
                            </w:pPr>
                            <w:r w:rsidRPr="003C3588">
                              <w:rPr>
                                <w:rFonts w:ascii="Arial" w:hAnsi="Arial"/>
                                <w:b/>
                                <w:sz w:val="16"/>
                              </w:rPr>
                              <w:t>00</w:t>
                            </w:r>
                            <w:r>
                              <w:rPr>
                                <w:rFonts w:ascii="Arial" w:hAnsi="Arial"/>
                                <w:b/>
                                <w:sz w:val="16"/>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A7F4B2" id="Text Box 173" o:spid="_x0000_s1031" type="#_x0000_t202" style="position:absolute;left:0;text-align:left;margin-left:205.9pt;margin-top:153.5pt;width:30pt;height:17.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" filled="f" stroked="f">
                <v:textbox>
                  <w:txbxContent>
                    <w:p w:rsidR="004E318E" w:rsidRPr="003C3588" w:rsidRDefault="004E318E" w:rsidP="004E318E">
                      <w:pPr>
                        <w:rPr>
                          <w:rFonts w:ascii="Arial" w:hAnsi="Arial"/>
                          <w:b/>
                          <w:sz w:val="16"/>
                        </w:rPr>
                      </w:pPr>
                      <w:r w:rsidRPr="003C3588">
                        <w:rPr>
                          <w:rFonts w:ascii="Arial" w:hAnsi="Arial"/>
                          <w:b/>
                          <w:sz w:val="16"/>
                        </w:rPr>
                        <w:t>00</w:t>
                      </w:r>
                      <w:r>
                        <w:rPr>
                          <w:rFonts w:ascii="Arial" w:hAnsi="Arial"/>
                          <w:b/>
                          <w:sz w:val="16"/>
                        </w:rPr>
                        <w:t>5</w:t>
                      </w:r>
                    </w:p>
                  </w:txbxContent>
                </v:textbox>
              </v:shape>
            </w:pict>
          </mc:Fallback>
        </mc:AlternateContent>
      </w:r>
      <w:r w:rsidR="004E318E">
        <w:rPr>
          <w:noProof/>
          <w:szCs w:val="22"/>
        </w:rPr>
        <mc:AlternateContent>
          <mc:Choice Requires="wps">
            <w:drawing>
              <wp:anchor distT="0" distB="0" distL="114300" distR="114300" simplePos="0" relativeHeight="251682816" behindDoc="0" locked="0" layoutInCell="1" allowOverlap="1" wp14:anchorId="497028A5" wp14:editId="6ED42CDD">
                <wp:simplePos x="0" y="0"/>
                <wp:positionH relativeFrom="column">
                  <wp:posOffset>1963062</wp:posOffset>
                </wp:positionH>
                <wp:positionV relativeFrom="paragraph">
                  <wp:posOffset>431165</wp:posOffset>
                </wp:positionV>
                <wp:extent cx="381000" cy="219075"/>
                <wp:effectExtent l="9525" t="12065" r="9525" b="6985"/>
                <wp:wrapNone/>
                <wp:docPr id="172"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19075"/>
                        </a:xfrm>
                        <a:prstGeom prst="rect">
                          <a:avLst/>
                        </a:prstGeom>
                        <a:solidFill>
                          <a:srgbClr val="FFFFFF"/>
                        </a:solidFill>
                        <a:ln w="9525">
                          <a:solidFill>
                            <a:srgbClr val="000000"/>
                          </a:solidFill>
                          <a:miter lim="800000"/>
                          <a:headEnd/>
                          <a:tailEnd/>
                        </a:ln>
                      </wps:spPr>
                      <wps:txbx>
                        <w:txbxContent>
                          <w:p w:rsidR="004E318E" w:rsidRPr="003C3588" w:rsidRDefault="004E318E" w:rsidP="004E318E">
                            <w:pPr>
                              <w:rPr>
                                <w:rFonts w:ascii="Arial" w:hAnsi="Arial"/>
                                <w:b/>
                                <w:sz w:val="16"/>
                              </w:rPr>
                            </w:pPr>
                            <w:r w:rsidRPr="003C3588">
                              <w:rPr>
                                <w:rFonts w:ascii="Arial" w:hAnsi="Arial"/>
                                <w:b/>
                                <w:sz w:val="16"/>
                              </w:rPr>
                              <w:t>001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7028A5" id="Text Box 172" o:spid="_x0000_s1032" type="#_x0000_t202" style="position:absolute;left:0;text-align:left;margin-left:154.55pt;margin-top:33.95pt;width:30pt;height:17.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">
                <v:textbox>
                  <w:txbxContent>
                    <w:p w:rsidR="004E318E" w:rsidRPr="003C3588" w:rsidRDefault="004E318E" w:rsidP="004E318E">
                      <w:pPr>
                        <w:rPr>
                          <w:rFonts w:ascii="Arial" w:hAnsi="Arial"/>
                          <w:b/>
                          <w:sz w:val="16"/>
                        </w:rPr>
                      </w:pPr>
                      <w:r w:rsidRPr="003C3588">
                        <w:rPr>
                          <w:rFonts w:ascii="Arial" w:hAnsi="Arial"/>
                          <w:b/>
                          <w:sz w:val="16"/>
                        </w:rPr>
                        <w:t>001</w:t>
                      </w:r>
                    </w:p>
                  </w:txbxContent>
                </v:textbox>
              </v:shape>
            </w:pict>
          </mc:Fallback>
        </mc:AlternateContent>
      </w:r>
      <w:r w:rsidR="004E318E">
        <w:rPr>
          <w:noProof/>
          <w:szCs w:val="22"/>
        </w:rPr>
        <mc:AlternateContent>
          <mc:Choice Requires="wps">
            <w:drawing>
              <wp:anchor distT="0" distB="0" distL="114300" distR="114300" simplePos="0" relativeHeight="251680768" behindDoc="0" locked="0" layoutInCell="1" allowOverlap="1" wp14:anchorId="4C602D1B" wp14:editId="20AF3030">
                <wp:simplePos x="0" y="0"/>
                <wp:positionH relativeFrom="column">
                  <wp:posOffset>1040959</wp:posOffset>
                </wp:positionH>
                <wp:positionV relativeFrom="paragraph">
                  <wp:posOffset>2427301</wp:posOffset>
                </wp:positionV>
                <wp:extent cx="381000" cy="219075"/>
                <wp:effectExtent l="3175" t="4445" r="0" b="0"/>
                <wp:wrapNone/>
                <wp:docPr id="170"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3C3588" w:rsidRDefault="004E318E" w:rsidP="004E318E">
                            <w:pPr>
                              <w:rPr>
                                <w:rFonts w:ascii="Arial" w:hAnsi="Arial"/>
                                <w:b/>
                                <w:sz w:val="16"/>
                              </w:rPr>
                            </w:pPr>
                            <w:r>
                              <w:rPr>
                                <w:rFonts w:ascii="Arial" w:hAnsi="Arial"/>
                                <w:b/>
                                <w:sz w:val="16"/>
                              </w:rPr>
                              <w:t>004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602D1B" id="Text Box 170" o:spid="_x0000_s1033" type="#_x0000_t202" style="position:absolute;left:0;text-align:left;margin-left:81.95pt;margin-top:191.15pt;width:30pt;height:17.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" filled="f" stroked="f">
                <v:textbox>
                  <w:txbxContent>
                    <w:p w:rsidR="004E318E" w:rsidRPr="003C3588" w:rsidRDefault="004E318E" w:rsidP="004E318E">
                      <w:pPr>
                        <w:rPr>
                          <w:rFonts w:ascii="Arial" w:hAnsi="Arial"/>
                          <w:b/>
                          <w:sz w:val="16"/>
                        </w:rPr>
                      </w:pPr>
                      <w:r>
                        <w:rPr>
                          <w:rFonts w:ascii="Arial" w:hAnsi="Arial"/>
                          <w:b/>
                          <w:sz w:val="16"/>
                        </w:rPr>
                        <w:t>004</w:t>
                      </w:r>
                    </w:p>
                  </w:txbxContent>
                </v:textbox>
              </v:shape>
            </w:pict>
          </mc:Fallback>
        </mc:AlternateContent>
      </w:r>
      <w:r w:rsidR="004E318E">
        <w:rPr>
          <w:noProof/>
          <w:szCs w:val="22"/>
        </w:rPr>
        <w:drawing>
          <wp:inline distT="0" distB="0" distL="0" distR="0" wp14:anchorId="52FC2ADE" wp14:editId="2F0568F5">
            <wp:extent cx="5599831" cy="3390900"/>
            <wp:effectExtent l="38100" t="38100" r="39370" b="3810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5618251" cy="3402054"/>
                    </a:xfrm>
                    <a:prstGeom prst="rect">
                      <a:avLst/>
                    </a:prstGeom>
                    <a:ln w="38100" cap="sq" cmpd="thickThin">
                      <a:solidFill>
                        <a:srgbClr val="000000"/>
                      </a:solidFill>
                      <a:prstDash val="solid"/>
                      <a:miter lim="800000"/>
                    </a:ln>
                    <a:effectLst>
                      <a:innerShdw blurRad="76200">
                        <a:srgbClr val="000000"/>
                      </a:innerShdw>
                    </a:effectLst>
                  </pic:spPr>
                </pic:pic>
              </a:graphicData>
            </a:graphic>
          </wp:inline>
        </w:drawing>
      </w:r>
    </w:p>
    <w:p w:rsidR="004E318E" w:rsidRPr="00162CFD" w:rsidRDefault="004E318E" w:rsidP="00CF4EEA">
      <w:pPr>
        <w:pStyle w:val="Caption"/>
        <w:spacing w:before="120"/>
        <w:jc w:val="center"/>
        <w:rPr>
          <w:rFonts w:ascii="Times New Roman Bold" w:hAnsi="Times New Roman Bold"/>
          <w:b w:val="0"/>
          <w:caps w:val="0"/>
          <w:szCs w:val="22"/>
        </w:rPr>
      </w:pPr>
      <w:bookmarkStart w:id="5" w:name="_Ref479082844"/>
      <w:r w:rsidRPr="00162CFD">
        <w:rPr>
          <w:rFonts w:ascii="Times New Roman Bold" w:hAnsi="Times New Roman Bold"/>
          <w:caps w:val="0"/>
        </w:rPr>
        <w:t xml:space="preserve">Figure </w:t>
      </w:r>
      <w:r w:rsidRPr="00162CFD">
        <w:rPr>
          <w:rFonts w:ascii="Times New Roman Bold" w:hAnsi="Times New Roman Bold"/>
          <w:caps w:val="0"/>
        </w:rPr>
        <w:fldChar w:fldCharType="begin"/>
      </w:r>
      <w:r w:rsidRPr="00162CFD">
        <w:rPr>
          <w:rFonts w:ascii="Times New Roman Bold" w:hAnsi="Times New Roman Bold"/>
          <w:caps w:val="0"/>
        </w:rPr>
        <w:instrText xml:space="preserve"> SEQ Figure \* ARABIC </w:instrText>
      </w:r>
      <w:r w:rsidRPr="00162CFD">
        <w:rPr>
          <w:rFonts w:ascii="Times New Roman Bold" w:hAnsi="Times New Roman Bold"/>
          <w:caps w:val="0"/>
        </w:rPr>
        <w:fldChar w:fldCharType="separate"/>
      </w:r>
      <w:r>
        <w:rPr>
          <w:rFonts w:ascii="Times New Roman Bold" w:hAnsi="Times New Roman Bold"/>
          <w:caps w:val="0"/>
          <w:noProof/>
        </w:rPr>
        <w:t>3</w:t>
      </w:r>
      <w:r w:rsidRPr="00162CFD">
        <w:rPr>
          <w:rFonts w:ascii="Times New Roman Bold" w:hAnsi="Times New Roman Bold"/>
          <w:caps w:val="0"/>
        </w:rPr>
        <w:fldChar w:fldCharType="end"/>
      </w:r>
      <w:bookmarkEnd w:id="5"/>
      <w:r w:rsidRPr="00162CFD">
        <w:rPr>
          <w:rFonts w:ascii="Times New Roman Bold" w:hAnsi="Times New Roman Bold"/>
          <w:caps w:val="0"/>
        </w:rPr>
        <w:t>.  Simplified diagram of HEF sugarcane</w:t>
      </w:r>
      <w:r>
        <w:rPr>
          <w:rFonts w:ascii="Times New Roman Bold" w:hAnsi="Times New Roman Bold"/>
          <w:caps w:val="0"/>
        </w:rPr>
        <w:t>-</w:t>
      </w:r>
      <w:r w:rsidRPr="00162CFD">
        <w:rPr>
          <w:rFonts w:ascii="Times New Roman Bold" w:hAnsi="Times New Roman Bold"/>
          <w:caps w:val="0"/>
        </w:rPr>
        <w:t xml:space="preserve"> and sorghum-to-ethanol and power facility.</w:t>
      </w:r>
    </w:p>
    <w:p w:rsidR="00C87937" w:rsidRPr="00836ED4" w:rsidRDefault="00C87937" w:rsidP="00CF4EEA">
      <w:pPr>
        <w:pStyle w:val="ListParagraph"/>
        <w:widowControl w:val="0"/>
        <w:numPr>
          <w:ilvl w:val="1"/>
          <w:numId w:val="15"/>
        </w:numPr>
        <w:spacing w:after="120"/>
        <w:ind w:left="720" w:hanging="720"/>
        <w:contextualSpacing w:val="0"/>
        <w:rPr>
          <w:b/>
          <w:bCs/>
          <w:sz w:val="22"/>
          <w:szCs w:val="22"/>
        </w:rPr>
      </w:pPr>
      <w:r>
        <w:rPr>
          <w:b/>
          <w:bCs/>
          <w:sz w:val="22"/>
          <w:szCs w:val="22"/>
        </w:rPr>
        <w:t>Processing Timelines</w:t>
      </w:r>
    </w:p>
    <w:p w:rsidR="00C87937" w:rsidRDefault="00C87937" w:rsidP="00C87937">
      <w:pPr>
        <w:pStyle w:val="BodyText2"/>
        <w:widowControl w:val="0"/>
        <w:numPr>
          <w:ilvl w:val="0"/>
          <w:numId w:val="0"/>
        </w:numPr>
        <w:jc w:val="left"/>
        <w:rPr>
          <w:szCs w:val="22"/>
        </w:rPr>
      </w:pPr>
      <w:r>
        <w:rPr>
          <w:szCs w:val="22"/>
        </w:rPr>
        <w:t>March 17, 2017</w:t>
      </w:r>
      <w:r>
        <w:rPr>
          <w:szCs w:val="22"/>
        </w:rPr>
        <w:tab/>
      </w:r>
      <w:r>
        <w:rPr>
          <w:szCs w:val="22"/>
        </w:rPr>
        <w:tab/>
        <w:t>Applicant submitted PSD permit application.</w:t>
      </w:r>
    </w:p>
    <w:p w:rsidR="00C87937" w:rsidRDefault="00C87937" w:rsidP="00C87937">
      <w:pPr>
        <w:pStyle w:val="BodyText2"/>
        <w:widowControl w:val="0"/>
        <w:numPr>
          <w:ilvl w:val="0"/>
          <w:numId w:val="0"/>
        </w:numPr>
        <w:jc w:val="left"/>
        <w:rPr>
          <w:szCs w:val="22"/>
        </w:rPr>
      </w:pPr>
      <w:r>
        <w:rPr>
          <w:szCs w:val="22"/>
        </w:rPr>
        <w:t>April 11, 2017</w:t>
      </w:r>
      <w:r>
        <w:rPr>
          <w:szCs w:val="22"/>
        </w:rPr>
        <w:tab/>
      </w:r>
      <w:r>
        <w:rPr>
          <w:szCs w:val="22"/>
        </w:rPr>
        <w:tab/>
        <w:t>Department issued Request for Additional Information</w:t>
      </w:r>
      <w:r>
        <w:rPr>
          <w:rStyle w:val="FootnoteReference"/>
          <w:szCs w:val="22"/>
        </w:rPr>
        <w:footnoteReference w:id="3"/>
      </w:r>
      <w:r>
        <w:rPr>
          <w:szCs w:val="22"/>
        </w:rPr>
        <w:t>.</w:t>
      </w:r>
    </w:p>
    <w:p w:rsidR="00C87937" w:rsidRPr="00C87937" w:rsidRDefault="00C87937" w:rsidP="00C87937">
      <w:pPr>
        <w:pStyle w:val="BodyText2"/>
        <w:widowControl w:val="0"/>
        <w:numPr>
          <w:ilvl w:val="0"/>
          <w:numId w:val="0"/>
        </w:numPr>
        <w:jc w:val="left"/>
        <w:rPr>
          <w:szCs w:val="22"/>
        </w:rPr>
      </w:pPr>
      <w:r>
        <w:rPr>
          <w:szCs w:val="22"/>
        </w:rPr>
        <w:t>May 19, 2017</w:t>
      </w:r>
      <w:r>
        <w:rPr>
          <w:szCs w:val="22"/>
        </w:rPr>
        <w:tab/>
      </w:r>
      <w:r>
        <w:rPr>
          <w:szCs w:val="22"/>
        </w:rPr>
        <w:tab/>
        <w:t>Applicant submitted additional information; application complete.</w:t>
      </w:r>
    </w:p>
    <w:p w:rsidR="00020211" w:rsidRDefault="00020211" w:rsidP="00CF4EEA">
      <w:pPr>
        <w:pStyle w:val="ListParagraph"/>
        <w:widowControl w:val="0"/>
        <w:numPr>
          <w:ilvl w:val="0"/>
          <w:numId w:val="15"/>
        </w:numPr>
        <w:spacing w:after="120"/>
        <w:ind w:left="720" w:hanging="720"/>
        <w:contextualSpacing w:val="0"/>
        <w:rPr>
          <w:b/>
          <w:caps/>
          <w:sz w:val="22"/>
          <w:szCs w:val="22"/>
        </w:rPr>
      </w:pPr>
      <w:r w:rsidRPr="00056257">
        <w:rPr>
          <w:b/>
          <w:caps/>
          <w:sz w:val="22"/>
          <w:szCs w:val="22"/>
        </w:rPr>
        <w:t>Process Description</w:t>
      </w:r>
    </w:p>
    <w:p w:rsidR="00020211" w:rsidRPr="00691BCD" w:rsidRDefault="00020211" w:rsidP="00CF4EEA">
      <w:pPr>
        <w:pStyle w:val="ListParagraph"/>
        <w:widowControl w:val="0"/>
        <w:numPr>
          <w:ilvl w:val="1"/>
          <w:numId w:val="15"/>
        </w:numPr>
        <w:spacing w:after="120"/>
        <w:ind w:left="720" w:hanging="720"/>
        <w:contextualSpacing w:val="0"/>
        <w:rPr>
          <w:b/>
          <w:sz w:val="22"/>
          <w:szCs w:val="22"/>
        </w:rPr>
      </w:pPr>
      <w:r w:rsidRPr="00691BCD">
        <w:rPr>
          <w:b/>
          <w:sz w:val="22"/>
          <w:szCs w:val="22"/>
        </w:rPr>
        <w:t>(E.U. 001) Feedstock and Biomass Material Handling and Preparation</w:t>
      </w:r>
    </w:p>
    <w:p w:rsidR="00020211" w:rsidRDefault="00020211" w:rsidP="00020211">
      <w:pPr>
        <w:spacing w:after="120"/>
        <w:rPr>
          <w:sz w:val="22"/>
          <w:szCs w:val="22"/>
        </w:rPr>
      </w:pPr>
      <w:r>
        <w:rPr>
          <w:i/>
          <w:sz w:val="22"/>
          <w:szCs w:val="22"/>
        </w:rPr>
        <w:t>Cane</w:t>
      </w:r>
      <w:r w:rsidRPr="00056257">
        <w:rPr>
          <w:i/>
          <w:sz w:val="22"/>
          <w:szCs w:val="22"/>
        </w:rPr>
        <w:t xml:space="preserve"> receiving.</w:t>
      </w:r>
      <w:r w:rsidRPr="00056257">
        <w:rPr>
          <w:sz w:val="22"/>
          <w:szCs w:val="22"/>
        </w:rPr>
        <w:t xml:space="preserve">  Refer to </w:t>
      </w:r>
      <w:r w:rsidR="00D6579A" w:rsidRPr="00D6579A">
        <w:rPr>
          <w:rFonts w:ascii="Times New Roman Bold" w:hAnsi="Times New Roman Bold"/>
          <w:b/>
          <w:sz w:val="22"/>
          <w:szCs w:val="22"/>
        </w:rPr>
        <w:fldChar w:fldCharType="begin"/>
      </w:r>
      <w:r w:rsidR="00D6579A" w:rsidRPr="00D6579A">
        <w:rPr>
          <w:rFonts w:ascii="Times New Roman Bold" w:hAnsi="Times New Roman Bold"/>
          <w:b/>
          <w:sz w:val="22"/>
          <w:szCs w:val="22"/>
        </w:rPr>
        <w:instrText xml:space="preserve"> REF _Ref479082844 \h </w:instrText>
      </w:r>
      <w:r w:rsidR="00D6579A">
        <w:rPr>
          <w:rFonts w:ascii="Times New Roman Bold" w:hAnsi="Times New Roman Bold"/>
          <w:b/>
          <w:sz w:val="22"/>
          <w:szCs w:val="22"/>
        </w:rPr>
        <w:instrText xml:space="preserve"> \* MERGEFORMAT </w:instrText>
      </w:r>
      <w:r w:rsidR="00D6579A" w:rsidRPr="00D6579A">
        <w:rPr>
          <w:rFonts w:ascii="Times New Roman Bold" w:hAnsi="Times New Roman Bold"/>
          <w:b/>
          <w:sz w:val="22"/>
          <w:szCs w:val="22"/>
        </w:rPr>
      </w:r>
      <w:r w:rsidR="00D6579A" w:rsidRPr="00D6579A">
        <w:rPr>
          <w:rFonts w:ascii="Times New Roman Bold" w:hAnsi="Times New Roman Bold"/>
          <w:b/>
          <w:sz w:val="22"/>
          <w:szCs w:val="22"/>
        </w:rPr>
        <w:fldChar w:fldCharType="separate"/>
      </w:r>
      <w:r w:rsidR="005A4C55" w:rsidRPr="005A4C55">
        <w:rPr>
          <w:rFonts w:ascii="Times New Roman Bold" w:hAnsi="Times New Roman Bold"/>
          <w:b/>
          <w:sz w:val="22"/>
        </w:rPr>
        <w:t xml:space="preserve">Figure </w:t>
      </w:r>
      <w:r w:rsidR="005A4C55" w:rsidRPr="005A4C55">
        <w:rPr>
          <w:rFonts w:ascii="Times New Roman Bold" w:hAnsi="Times New Roman Bold"/>
          <w:b/>
          <w:noProof/>
          <w:sz w:val="22"/>
        </w:rPr>
        <w:t>3</w:t>
      </w:r>
      <w:r w:rsidR="00D6579A" w:rsidRPr="00D6579A">
        <w:rPr>
          <w:rFonts w:ascii="Times New Roman Bold" w:hAnsi="Times New Roman Bold"/>
          <w:b/>
          <w:sz w:val="22"/>
          <w:szCs w:val="22"/>
        </w:rPr>
        <w:fldChar w:fldCharType="end"/>
      </w:r>
      <w:r>
        <w:rPr>
          <w:sz w:val="22"/>
          <w:szCs w:val="22"/>
        </w:rPr>
        <w:t xml:space="preserve">.  </w:t>
      </w:r>
      <w:r w:rsidRPr="00056257">
        <w:rPr>
          <w:sz w:val="22"/>
          <w:szCs w:val="22"/>
        </w:rPr>
        <w:t xml:space="preserve">Harvested </w:t>
      </w:r>
      <w:r>
        <w:rPr>
          <w:sz w:val="22"/>
          <w:szCs w:val="22"/>
        </w:rPr>
        <w:t>cane</w:t>
      </w:r>
      <w:r w:rsidRPr="00056257">
        <w:rPr>
          <w:sz w:val="22"/>
          <w:szCs w:val="22"/>
        </w:rPr>
        <w:t xml:space="preserve"> </w:t>
      </w:r>
      <w:r>
        <w:rPr>
          <w:sz w:val="22"/>
          <w:szCs w:val="22"/>
        </w:rPr>
        <w:t xml:space="preserve">stalks in the form of 6 to 12 inch billets </w:t>
      </w:r>
      <w:r w:rsidRPr="00056257">
        <w:rPr>
          <w:sz w:val="22"/>
          <w:szCs w:val="22"/>
        </w:rPr>
        <w:t>will arrive via trucks</w:t>
      </w:r>
      <w:r>
        <w:rPr>
          <w:sz w:val="22"/>
          <w:szCs w:val="22"/>
        </w:rPr>
        <w:t xml:space="preserve"> or rail</w:t>
      </w:r>
      <w:r w:rsidRPr="00056257">
        <w:rPr>
          <w:sz w:val="22"/>
          <w:szCs w:val="22"/>
        </w:rPr>
        <w:t xml:space="preserve"> from </w:t>
      </w:r>
      <w:r>
        <w:rPr>
          <w:sz w:val="22"/>
          <w:szCs w:val="22"/>
        </w:rPr>
        <w:t>nearby</w:t>
      </w:r>
      <w:r w:rsidRPr="00056257">
        <w:rPr>
          <w:sz w:val="22"/>
          <w:szCs w:val="22"/>
        </w:rPr>
        <w:t xml:space="preserve"> agricultural fields to the production facility.  The trucks </w:t>
      </w:r>
      <w:r>
        <w:rPr>
          <w:sz w:val="22"/>
          <w:szCs w:val="22"/>
        </w:rPr>
        <w:t xml:space="preserve">and railcars </w:t>
      </w:r>
      <w:r w:rsidRPr="00056257">
        <w:rPr>
          <w:sz w:val="22"/>
          <w:szCs w:val="22"/>
        </w:rPr>
        <w:t xml:space="preserve">will be weighed on a weighing bridge as they enter the unloading area.  The </w:t>
      </w:r>
      <w:r>
        <w:rPr>
          <w:sz w:val="22"/>
          <w:szCs w:val="22"/>
        </w:rPr>
        <w:t xml:space="preserve">cane </w:t>
      </w:r>
      <w:r w:rsidRPr="00056257">
        <w:rPr>
          <w:sz w:val="22"/>
          <w:szCs w:val="22"/>
        </w:rPr>
        <w:t>in the trucks is then transferred to the feed table via a tipping trailer</w:t>
      </w:r>
      <w:r>
        <w:rPr>
          <w:sz w:val="22"/>
          <w:szCs w:val="22"/>
        </w:rPr>
        <w:t xml:space="preserve">.  Railcars will be bottom dumped into a feed hopper, which feeds the feed table.  </w:t>
      </w:r>
      <w:r w:rsidRPr="00056257">
        <w:rPr>
          <w:sz w:val="22"/>
          <w:szCs w:val="22"/>
        </w:rPr>
        <w:t xml:space="preserve">The feed table is equipped with chains that convey the </w:t>
      </w:r>
      <w:r>
        <w:rPr>
          <w:sz w:val="22"/>
          <w:szCs w:val="22"/>
        </w:rPr>
        <w:t>cane billets</w:t>
      </w:r>
      <w:r w:rsidRPr="00056257">
        <w:rPr>
          <w:sz w:val="22"/>
          <w:szCs w:val="22"/>
        </w:rPr>
        <w:t xml:space="preserve"> toward the main conveyor that feeds the juice extraction system.</w:t>
      </w:r>
    </w:p>
    <w:p w:rsidR="00BB233A" w:rsidRPr="00A5667E" w:rsidRDefault="00BB233A" w:rsidP="00BB233A">
      <w:pPr>
        <w:pStyle w:val="BodyText3"/>
        <w:widowControl w:val="0"/>
        <w:numPr>
          <w:ilvl w:val="12"/>
          <w:numId w:val="0"/>
        </w:numPr>
        <w:rPr>
          <w:szCs w:val="22"/>
        </w:rPr>
      </w:pPr>
      <w:r w:rsidRPr="005A361C">
        <w:rPr>
          <w:i/>
          <w:szCs w:val="22"/>
        </w:rPr>
        <w:t>Supplemental boiler fuel receiving</w:t>
      </w:r>
      <w:r>
        <w:rPr>
          <w:szCs w:val="22"/>
        </w:rPr>
        <w:t>.  Energy crops, w</w:t>
      </w:r>
      <w:r w:rsidRPr="00A5667E">
        <w:rPr>
          <w:szCs w:val="22"/>
        </w:rPr>
        <w:t xml:space="preserve">ood </w:t>
      </w:r>
      <w:r>
        <w:rPr>
          <w:szCs w:val="22"/>
        </w:rPr>
        <w:t xml:space="preserve">chips and vegetative debris </w:t>
      </w:r>
      <w:r w:rsidRPr="00A5667E">
        <w:rPr>
          <w:szCs w:val="22"/>
        </w:rPr>
        <w:t xml:space="preserve">will be received from local suppliers. </w:t>
      </w:r>
      <w:r>
        <w:rPr>
          <w:szCs w:val="22"/>
        </w:rPr>
        <w:t xml:space="preserve"> </w:t>
      </w:r>
    </w:p>
    <w:p w:rsidR="00BB233A" w:rsidRDefault="00BB233A" w:rsidP="00BB233A">
      <w:pPr>
        <w:pStyle w:val="BodyText3"/>
        <w:widowControl w:val="0"/>
        <w:numPr>
          <w:ilvl w:val="12"/>
          <w:numId w:val="0"/>
        </w:numPr>
        <w:rPr>
          <w:szCs w:val="22"/>
        </w:rPr>
      </w:pPr>
      <w:r w:rsidRPr="005A361C">
        <w:rPr>
          <w:i/>
          <w:szCs w:val="22"/>
        </w:rPr>
        <w:t>Sorghum cutting, shredding and conveyance</w:t>
      </w:r>
      <w:r>
        <w:rPr>
          <w:szCs w:val="22"/>
        </w:rPr>
        <w:t>.  T</w:t>
      </w:r>
      <w:r w:rsidRPr="005A361C">
        <w:rPr>
          <w:szCs w:val="22"/>
        </w:rPr>
        <w:t xml:space="preserve">he </w:t>
      </w:r>
      <w:r>
        <w:rPr>
          <w:szCs w:val="22"/>
        </w:rPr>
        <w:t xml:space="preserve">cane </w:t>
      </w:r>
      <w:r w:rsidRPr="005A361C">
        <w:rPr>
          <w:szCs w:val="22"/>
        </w:rPr>
        <w:t xml:space="preserve">passes through </w:t>
      </w:r>
      <w:r>
        <w:rPr>
          <w:szCs w:val="22"/>
        </w:rPr>
        <w:t xml:space="preserve">several </w:t>
      </w:r>
      <w:r w:rsidRPr="005A361C">
        <w:rPr>
          <w:szCs w:val="22"/>
        </w:rPr>
        <w:t>sets of revolving</w:t>
      </w:r>
      <w:r>
        <w:rPr>
          <w:szCs w:val="22"/>
        </w:rPr>
        <w:t xml:space="preserve"> cane </w:t>
      </w:r>
      <w:r w:rsidRPr="005A361C">
        <w:rPr>
          <w:szCs w:val="22"/>
        </w:rPr>
        <w:t xml:space="preserve">knives and one heavy-duty shredder. </w:t>
      </w:r>
      <w:r>
        <w:rPr>
          <w:szCs w:val="22"/>
        </w:rPr>
        <w:t xml:space="preserve"> </w:t>
      </w:r>
      <w:r w:rsidRPr="005A361C">
        <w:rPr>
          <w:szCs w:val="22"/>
        </w:rPr>
        <w:t xml:space="preserve">From the shredder, the </w:t>
      </w:r>
      <w:r>
        <w:rPr>
          <w:szCs w:val="22"/>
        </w:rPr>
        <w:t xml:space="preserve">cane </w:t>
      </w:r>
      <w:r w:rsidRPr="005A361C">
        <w:rPr>
          <w:szCs w:val="22"/>
        </w:rPr>
        <w:t>passes to a high-speed</w:t>
      </w:r>
      <w:r>
        <w:rPr>
          <w:szCs w:val="22"/>
        </w:rPr>
        <w:t xml:space="preserve"> </w:t>
      </w:r>
      <w:r w:rsidRPr="005A361C">
        <w:rPr>
          <w:szCs w:val="22"/>
        </w:rPr>
        <w:t xml:space="preserve">belt carrier then to the diffuser feed carrier. </w:t>
      </w:r>
      <w:r>
        <w:rPr>
          <w:szCs w:val="22"/>
        </w:rPr>
        <w:t xml:space="preserve"> </w:t>
      </w:r>
      <w:r w:rsidRPr="005A361C">
        <w:rPr>
          <w:szCs w:val="22"/>
        </w:rPr>
        <w:t xml:space="preserve">Any excess </w:t>
      </w:r>
      <w:r>
        <w:rPr>
          <w:szCs w:val="22"/>
        </w:rPr>
        <w:t xml:space="preserve">cane </w:t>
      </w:r>
      <w:r w:rsidRPr="005A361C">
        <w:rPr>
          <w:szCs w:val="22"/>
        </w:rPr>
        <w:t>is returned to the high-speed belt</w:t>
      </w:r>
      <w:r>
        <w:rPr>
          <w:szCs w:val="22"/>
        </w:rPr>
        <w:t xml:space="preserve"> </w:t>
      </w:r>
      <w:r w:rsidRPr="005A361C">
        <w:rPr>
          <w:szCs w:val="22"/>
        </w:rPr>
        <w:t>conveyor via the excess sorghum carrier and a chute.</w:t>
      </w:r>
    </w:p>
    <w:p w:rsidR="00BB233A" w:rsidRDefault="00BB233A" w:rsidP="00BB233A">
      <w:pPr>
        <w:pStyle w:val="BodyText3"/>
        <w:widowControl w:val="0"/>
        <w:numPr>
          <w:ilvl w:val="12"/>
          <w:numId w:val="0"/>
        </w:numPr>
        <w:rPr>
          <w:szCs w:val="22"/>
        </w:rPr>
      </w:pPr>
      <w:r w:rsidRPr="005A361C">
        <w:rPr>
          <w:szCs w:val="22"/>
        </w:rPr>
        <w:t>The diffuser</w:t>
      </w:r>
      <w:r>
        <w:rPr>
          <w:szCs w:val="22"/>
        </w:rPr>
        <w:t xml:space="preserve"> </w:t>
      </w:r>
      <w:r w:rsidRPr="005A361C">
        <w:rPr>
          <w:szCs w:val="22"/>
        </w:rPr>
        <w:t xml:space="preserve">consists of a horizontal slat-type conveyor with a fixed bottom consisting of perforated screens. </w:t>
      </w:r>
      <w:r>
        <w:rPr>
          <w:szCs w:val="22"/>
        </w:rPr>
        <w:t xml:space="preserve"> </w:t>
      </w:r>
      <w:r w:rsidRPr="005A361C">
        <w:rPr>
          <w:szCs w:val="22"/>
        </w:rPr>
        <w:t>Beneath</w:t>
      </w:r>
      <w:r>
        <w:rPr>
          <w:szCs w:val="22"/>
        </w:rPr>
        <w:t xml:space="preserve"> </w:t>
      </w:r>
      <w:r w:rsidRPr="005A361C">
        <w:rPr>
          <w:szCs w:val="22"/>
        </w:rPr>
        <w:t>the screens, several semi-cylindrical transversal juice receivers will be installed.</w:t>
      </w:r>
      <w:r>
        <w:rPr>
          <w:szCs w:val="22"/>
        </w:rPr>
        <w:t xml:space="preserve">  Imbibition </w:t>
      </w:r>
      <w:r w:rsidRPr="005A361C">
        <w:rPr>
          <w:szCs w:val="22"/>
        </w:rPr>
        <w:t xml:space="preserve">water is fed into the juice trough and falls onto the </w:t>
      </w:r>
      <w:r>
        <w:rPr>
          <w:szCs w:val="22"/>
        </w:rPr>
        <w:t xml:space="preserve">shredded cane </w:t>
      </w:r>
      <w:r w:rsidRPr="005A361C">
        <w:rPr>
          <w:szCs w:val="22"/>
        </w:rPr>
        <w:t>mat, percolates through the</w:t>
      </w:r>
      <w:r>
        <w:rPr>
          <w:szCs w:val="22"/>
        </w:rPr>
        <w:t xml:space="preserve"> </w:t>
      </w:r>
      <w:r w:rsidRPr="005A361C">
        <w:rPr>
          <w:szCs w:val="22"/>
        </w:rPr>
        <w:t xml:space="preserve">fibers, passes across the </w:t>
      </w:r>
      <w:r w:rsidRPr="005A361C">
        <w:rPr>
          <w:szCs w:val="22"/>
        </w:rPr>
        <w:lastRenderedPageBreak/>
        <w:t xml:space="preserve">screen, and is collected in the last juice receiver. </w:t>
      </w:r>
      <w:r>
        <w:rPr>
          <w:szCs w:val="22"/>
        </w:rPr>
        <w:t xml:space="preserve"> </w:t>
      </w:r>
    </w:p>
    <w:p w:rsidR="00BB233A" w:rsidRDefault="00BB233A" w:rsidP="00BB233A">
      <w:pPr>
        <w:pStyle w:val="BodyText3"/>
        <w:widowControl w:val="0"/>
        <w:numPr>
          <w:ilvl w:val="12"/>
          <w:numId w:val="0"/>
        </w:numPr>
        <w:rPr>
          <w:szCs w:val="22"/>
        </w:rPr>
      </w:pPr>
      <w:r>
        <w:rPr>
          <w:szCs w:val="22"/>
        </w:rPr>
        <w:t>As the sorghum moves across the diffuser it is progressively washed of its sucrose content.  The wash water is circulated in a countercurrent manner such that it is progressively concentrated in sucrose in the direction of the incoming shredded cane.</w:t>
      </w:r>
    </w:p>
    <w:p w:rsidR="00BB233A" w:rsidRDefault="00BB233A" w:rsidP="00BB233A">
      <w:pPr>
        <w:pStyle w:val="BodyText3"/>
        <w:widowControl w:val="0"/>
        <w:numPr>
          <w:ilvl w:val="12"/>
          <w:numId w:val="0"/>
        </w:numPr>
        <w:spacing w:after="240"/>
        <w:rPr>
          <w:szCs w:val="22"/>
        </w:rPr>
      </w:pPr>
      <w:r>
        <w:rPr>
          <w:szCs w:val="22"/>
        </w:rPr>
        <w:t xml:space="preserve">The washed and shredded cane (now bagasse) is pressed in a roller system to approximately 50 percent (%) moisture and </w:t>
      </w:r>
      <w:r w:rsidRPr="005A361C">
        <w:rPr>
          <w:szCs w:val="22"/>
        </w:rPr>
        <w:t>is then</w:t>
      </w:r>
      <w:r>
        <w:rPr>
          <w:szCs w:val="22"/>
        </w:rPr>
        <w:t xml:space="preserve"> </w:t>
      </w:r>
      <w:r w:rsidRPr="005A361C">
        <w:rPr>
          <w:szCs w:val="22"/>
        </w:rPr>
        <w:t>transferred to the biomass boiler.</w:t>
      </w:r>
      <w:r>
        <w:rPr>
          <w:szCs w:val="22"/>
        </w:rPr>
        <w:t xml:space="preserve">  The juice is pumped to a juice screen which separates fine particles prior to evaporation.  The fine particles are recycled to the diffuser.  The pH of the filtered juice is adjusted and the product is stored in the juice storage tank.</w:t>
      </w:r>
    </w:p>
    <w:p w:rsidR="00020211" w:rsidRPr="00691BCD" w:rsidRDefault="00020211" w:rsidP="00691BCD">
      <w:pPr>
        <w:pStyle w:val="ListParagraph"/>
        <w:widowControl w:val="0"/>
        <w:numPr>
          <w:ilvl w:val="1"/>
          <w:numId w:val="15"/>
        </w:numPr>
        <w:spacing w:after="120"/>
        <w:ind w:left="720" w:hanging="720"/>
        <w:contextualSpacing w:val="0"/>
        <w:rPr>
          <w:b/>
          <w:sz w:val="22"/>
          <w:szCs w:val="22"/>
        </w:rPr>
      </w:pPr>
      <w:r w:rsidRPr="00691BCD">
        <w:rPr>
          <w:b/>
          <w:sz w:val="22"/>
          <w:szCs w:val="22"/>
        </w:rPr>
        <w:t>(E.U. 002) Biomass Bo</w:t>
      </w:r>
      <w:r w:rsidR="0037519B">
        <w:rPr>
          <w:b/>
          <w:sz w:val="22"/>
          <w:szCs w:val="22"/>
        </w:rPr>
        <w:t>iler Steam and Power Production</w:t>
      </w:r>
    </w:p>
    <w:p w:rsidR="00020211" w:rsidRDefault="00020211" w:rsidP="00020211">
      <w:pPr>
        <w:pStyle w:val="BodyText3"/>
        <w:widowControl w:val="0"/>
        <w:numPr>
          <w:ilvl w:val="12"/>
          <w:numId w:val="0"/>
        </w:numPr>
        <w:spacing w:before="0"/>
        <w:rPr>
          <w:szCs w:val="22"/>
        </w:rPr>
      </w:pPr>
      <w:r w:rsidRPr="004B44E3">
        <w:rPr>
          <w:szCs w:val="22"/>
        </w:rPr>
        <w:t xml:space="preserve">The project will employ one biomass </w:t>
      </w:r>
      <w:r w:rsidR="00513146">
        <w:rPr>
          <w:szCs w:val="22"/>
        </w:rPr>
        <w:t>hybrid suspension grate</w:t>
      </w:r>
      <w:r>
        <w:rPr>
          <w:szCs w:val="22"/>
        </w:rPr>
        <w:t xml:space="preserve"> </w:t>
      </w:r>
      <w:r w:rsidRPr="004B44E3">
        <w:rPr>
          <w:szCs w:val="22"/>
        </w:rPr>
        <w:t xml:space="preserve">boiler with a </w:t>
      </w:r>
      <w:r>
        <w:rPr>
          <w:szCs w:val="22"/>
        </w:rPr>
        <w:t xml:space="preserve">maximum </w:t>
      </w:r>
      <w:r w:rsidRPr="004B44E3">
        <w:rPr>
          <w:szCs w:val="22"/>
        </w:rPr>
        <w:t>capacity of 5</w:t>
      </w:r>
      <w:r>
        <w:rPr>
          <w:szCs w:val="22"/>
        </w:rPr>
        <w:t>04.3</w:t>
      </w:r>
      <w:r w:rsidRPr="004B44E3">
        <w:rPr>
          <w:szCs w:val="22"/>
        </w:rPr>
        <w:t xml:space="preserve"> </w:t>
      </w:r>
      <w:r>
        <w:rPr>
          <w:szCs w:val="22"/>
        </w:rPr>
        <w:t>million Btu per hour (</w:t>
      </w:r>
      <w:r w:rsidR="00B91A35">
        <w:rPr>
          <w:szCs w:val="22"/>
        </w:rPr>
        <w:t>MM</w:t>
      </w:r>
      <w:r w:rsidRPr="004B44E3">
        <w:rPr>
          <w:szCs w:val="22"/>
        </w:rPr>
        <w:t>Btu/hr</w:t>
      </w:r>
      <w:r>
        <w:rPr>
          <w:szCs w:val="22"/>
        </w:rPr>
        <w:t xml:space="preserve"> on a 4-hr basis) and </w:t>
      </w:r>
      <w:r w:rsidRPr="004B44E3">
        <w:rPr>
          <w:szCs w:val="22"/>
        </w:rPr>
        <w:t>4</w:t>
      </w:r>
      <w:r>
        <w:rPr>
          <w:szCs w:val="22"/>
        </w:rPr>
        <w:t>85.5</w:t>
      </w:r>
      <w:r w:rsidRPr="004B44E3">
        <w:rPr>
          <w:szCs w:val="22"/>
        </w:rPr>
        <w:t xml:space="preserve"> </w:t>
      </w:r>
      <w:r w:rsidR="00B91A35">
        <w:rPr>
          <w:szCs w:val="22"/>
        </w:rPr>
        <w:t>MM</w:t>
      </w:r>
      <w:r w:rsidRPr="004B44E3">
        <w:rPr>
          <w:szCs w:val="22"/>
        </w:rPr>
        <w:t>Btu/hr on a 24-hr basis</w:t>
      </w:r>
      <w:r w:rsidRPr="00F03DB3">
        <w:rPr>
          <w:szCs w:val="22"/>
        </w:rPr>
        <w:t xml:space="preserve">.  The boiler primary fuel will be sugarcane bagasse and sweet sorghum bagasse.  Biomass consisting of energy crops, wood chips and vegetative debris will be used as a supplemental boiler fuel. </w:t>
      </w:r>
      <w:r>
        <w:rPr>
          <w:szCs w:val="22"/>
        </w:rPr>
        <w:t xml:space="preserve"> </w:t>
      </w:r>
      <w:r w:rsidRPr="00F03DB3">
        <w:rPr>
          <w:szCs w:val="22"/>
        </w:rPr>
        <w:t>Natural gas will be used as a startup, shutdown and flame stabilization fuel</w:t>
      </w:r>
      <w:r>
        <w:rPr>
          <w:szCs w:val="22"/>
        </w:rPr>
        <w:t xml:space="preserve"> and </w:t>
      </w:r>
      <w:r w:rsidRPr="007636FB">
        <w:rPr>
          <w:szCs w:val="22"/>
        </w:rPr>
        <w:t>during a disruption in the biomass supply</w:t>
      </w:r>
      <w:r w:rsidRPr="00F03DB3">
        <w:rPr>
          <w:szCs w:val="22"/>
        </w:rPr>
        <w:t>.</w:t>
      </w:r>
    </w:p>
    <w:p w:rsidR="00020211" w:rsidRDefault="00020211" w:rsidP="00020211">
      <w:pPr>
        <w:widowControl w:val="0"/>
        <w:spacing w:after="120"/>
        <w:rPr>
          <w:sz w:val="22"/>
          <w:szCs w:val="22"/>
        </w:rPr>
      </w:pPr>
      <w:r w:rsidRPr="009F21A5">
        <w:rPr>
          <w:sz w:val="22"/>
          <w:szCs w:val="22"/>
        </w:rPr>
        <w:t>A simplified process</w:t>
      </w:r>
      <w:r w:rsidRPr="002F3BDA">
        <w:rPr>
          <w:sz w:val="22"/>
          <w:szCs w:val="22"/>
        </w:rPr>
        <w:t xml:space="preserve"> flow diagram for the steam and power operations including proposed pollution control equipment is shown in </w:t>
      </w:r>
      <w:r w:rsidR="008D159A" w:rsidRPr="008D159A">
        <w:rPr>
          <w:b/>
          <w:sz w:val="22"/>
          <w:szCs w:val="22"/>
        </w:rPr>
        <w:fldChar w:fldCharType="begin"/>
      </w:r>
      <w:r w:rsidR="008D159A" w:rsidRPr="008D159A">
        <w:rPr>
          <w:b/>
          <w:sz w:val="22"/>
          <w:szCs w:val="22"/>
        </w:rPr>
        <w:instrText xml:space="preserve"> REF _Ref479159808 \h  \* MERGEFORMAT </w:instrText>
      </w:r>
      <w:r w:rsidR="008D159A" w:rsidRPr="008D159A">
        <w:rPr>
          <w:b/>
          <w:sz w:val="22"/>
          <w:szCs w:val="22"/>
        </w:rPr>
      </w:r>
      <w:r w:rsidR="008D159A" w:rsidRPr="008D159A">
        <w:rPr>
          <w:b/>
          <w:sz w:val="22"/>
          <w:szCs w:val="22"/>
        </w:rPr>
        <w:fldChar w:fldCharType="separate"/>
      </w:r>
      <w:r w:rsidR="005A4C55" w:rsidRPr="005A4C55">
        <w:rPr>
          <w:b/>
          <w:sz w:val="22"/>
          <w:szCs w:val="22"/>
        </w:rPr>
        <w:t xml:space="preserve">Figure </w:t>
      </w:r>
      <w:r w:rsidR="005A4C55" w:rsidRPr="005A4C55">
        <w:rPr>
          <w:b/>
          <w:noProof/>
          <w:sz w:val="22"/>
          <w:szCs w:val="22"/>
        </w:rPr>
        <w:t>4</w:t>
      </w:r>
      <w:r w:rsidR="008D159A" w:rsidRPr="008D159A">
        <w:rPr>
          <w:b/>
          <w:sz w:val="22"/>
          <w:szCs w:val="22"/>
        </w:rPr>
        <w:fldChar w:fldCharType="end"/>
      </w:r>
      <w:r w:rsidRPr="002F3BDA">
        <w:rPr>
          <w:sz w:val="22"/>
          <w:szCs w:val="22"/>
        </w:rPr>
        <w:t>.</w:t>
      </w:r>
    </w:p>
    <w:p w:rsidR="00AB2A83" w:rsidRDefault="00020211" w:rsidP="00CF4EEA">
      <w:pPr>
        <w:keepNext/>
        <w:widowControl w:val="0"/>
        <w:spacing w:after="120"/>
        <w:jc w:val="center"/>
      </w:pPr>
      <w:r>
        <w:rPr>
          <w:noProof/>
          <w:sz w:val="22"/>
          <w:szCs w:val="22"/>
        </w:rPr>
        <mc:AlternateContent>
          <mc:Choice Requires="wps">
            <w:drawing>
              <wp:anchor distT="0" distB="0" distL="114300" distR="114300" simplePos="0" relativeHeight="251670528" behindDoc="0" locked="0" layoutInCell="1" allowOverlap="1">
                <wp:simplePos x="0" y="0"/>
                <wp:positionH relativeFrom="column">
                  <wp:posOffset>3417570</wp:posOffset>
                </wp:positionH>
                <wp:positionV relativeFrom="paragraph">
                  <wp:posOffset>2602230</wp:posOffset>
                </wp:positionV>
                <wp:extent cx="811530" cy="252095"/>
                <wp:effectExtent l="0" t="0" r="0" b="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1530" cy="25209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318E" w:rsidRPr="000A2F92" w:rsidRDefault="004E318E" w:rsidP="00020211">
                            <w:pPr>
                              <w:jc w:val="center"/>
                              <w:rPr>
                                <w:rFonts w:ascii="Arial" w:hAnsi="Arial" w:cs="Arial"/>
                                <w:sz w:val="11"/>
                                <w:szCs w:val="11"/>
                              </w:rPr>
                            </w:pPr>
                            <w:r w:rsidRPr="000A2F92">
                              <w:rPr>
                                <w:rFonts w:ascii="Arial" w:hAnsi="Arial" w:cs="Arial"/>
                                <w:sz w:val="11"/>
                                <w:szCs w:val="11"/>
                              </w:rPr>
                              <w:t>Oxidation Catalyst</w:t>
                            </w:r>
                            <w:r>
                              <w:rPr>
                                <w:rFonts w:ascii="Arial" w:hAnsi="Arial" w:cs="Arial"/>
                                <w:sz w:val="11"/>
                                <w:szCs w:val="11"/>
                              </w:rPr>
                              <w:br/>
                              <w:t>(Ox-cat)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1" o:spid="_x0000_s1034" type="#_x0000_t202" style="position:absolute;left:0;text-align:left;margin-left:269.1pt;margin-top:204.9pt;width:63.9pt;height:19.85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" fillcolor="white [3212]" stroked="f">
                <v:textbox style="mso-fit-shape-to-text:t">
                  <w:txbxContent>
                    <w:p w:rsidR="004E318E" w:rsidRPr="000A2F92" w:rsidRDefault="004E318E" w:rsidP="00020211">
                      <w:pPr>
                        <w:jc w:val="center"/>
                        <w:rPr>
                          <w:rFonts w:ascii="Arial" w:hAnsi="Arial" w:cs="Arial"/>
                          <w:sz w:val="11"/>
                          <w:szCs w:val="11"/>
                        </w:rPr>
                      </w:pPr>
                      <w:r w:rsidRPr="000A2F92">
                        <w:rPr>
                          <w:rFonts w:ascii="Arial" w:hAnsi="Arial" w:cs="Arial"/>
                          <w:sz w:val="11"/>
                          <w:szCs w:val="11"/>
                        </w:rPr>
                        <w:t>Oxidation Catalyst</w:t>
                      </w:r>
                      <w:r>
                        <w:rPr>
                          <w:rFonts w:ascii="Arial" w:hAnsi="Arial" w:cs="Arial"/>
                          <w:sz w:val="11"/>
                          <w:szCs w:val="11"/>
                        </w:rPr>
                        <w:br/>
                        <w:t>(Ox-cat)</w:t>
                      </w:r>
                    </w:p>
                  </w:txbxContent>
                </v:textbox>
              </v:shape>
            </w:pict>
          </mc:Fallback>
        </mc:AlternateContent>
      </w:r>
      <w:r>
        <w:rPr>
          <w:noProof/>
          <w:szCs w:val="22"/>
        </w:rPr>
        <mc:AlternateContent>
          <mc:Choice Requires="wps">
            <w:drawing>
              <wp:anchor distT="0" distB="0" distL="114300" distR="114300" simplePos="0" relativeHeight="251672576" behindDoc="0" locked="0" layoutInCell="1" allowOverlap="1">
                <wp:simplePos x="0" y="0"/>
                <wp:positionH relativeFrom="column">
                  <wp:posOffset>1028700</wp:posOffset>
                </wp:positionH>
                <wp:positionV relativeFrom="paragraph">
                  <wp:posOffset>2513330</wp:posOffset>
                </wp:positionV>
                <wp:extent cx="717550" cy="252095"/>
                <wp:effectExtent l="0" t="1270" r="0" b="381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5209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0A2F92" w:rsidRDefault="004E318E" w:rsidP="00020211">
                            <w:pPr>
                              <w:jc w:val="center"/>
                              <w:rPr>
                                <w:rFonts w:ascii="Arial" w:hAnsi="Arial" w:cs="Arial"/>
                                <w:sz w:val="11"/>
                                <w:szCs w:val="11"/>
                              </w:rPr>
                            </w:pPr>
                            <w:r>
                              <w:rPr>
                                <w:rFonts w:ascii="Arial" w:hAnsi="Arial" w:cs="Arial"/>
                                <w:sz w:val="11"/>
                                <w:szCs w:val="11"/>
                              </w:rPr>
                              <w:t>SNCR and OFA Systems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0" o:spid="_x0000_s1035" type="#_x0000_t202" style="position:absolute;left:0;text-align:left;margin-left:81pt;margin-top:197.9pt;width:56.5pt;height:19.85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" filled="f" fillcolor="white [3212]" stroked="f">
                <v:textbox style="mso-fit-shape-to-text:t">
                  <w:txbxContent>
                    <w:p w:rsidR="004E318E" w:rsidRPr="000A2F92" w:rsidRDefault="004E318E" w:rsidP="00020211">
                      <w:pPr>
                        <w:jc w:val="center"/>
                        <w:rPr>
                          <w:rFonts w:ascii="Arial" w:hAnsi="Arial" w:cs="Arial"/>
                          <w:sz w:val="11"/>
                          <w:szCs w:val="11"/>
                        </w:rPr>
                      </w:pPr>
                      <w:r>
                        <w:rPr>
                          <w:rFonts w:ascii="Arial" w:hAnsi="Arial" w:cs="Arial"/>
                          <w:sz w:val="11"/>
                          <w:szCs w:val="11"/>
                        </w:rPr>
                        <w:t>SNCR and OFA Systems</w:t>
                      </w:r>
                    </w:p>
                  </w:txbxContent>
                </v:textbox>
              </v:shape>
            </w:pict>
          </mc:Fallback>
        </mc:AlternateContent>
      </w:r>
      <w:r>
        <w:rPr>
          <w:noProof/>
          <w:sz w:val="22"/>
          <w:szCs w:val="22"/>
        </w:rPr>
        <mc:AlternateContent>
          <mc:Choice Requires="wps">
            <w:drawing>
              <wp:anchor distT="0" distB="0" distL="114300" distR="114300" simplePos="0" relativeHeight="251671552" behindDoc="0" locked="0" layoutInCell="1" allowOverlap="1">
                <wp:simplePos x="0" y="0"/>
                <wp:positionH relativeFrom="column">
                  <wp:posOffset>2204720</wp:posOffset>
                </wp:positionH>
                <wp:positionV relativeFrom="paragraph">
                  <wp:posOffset>2684780</wp:posOffset>
                </wp:positionV>
                <wp:extent cx="1212850" cy="252095"/>
                <wp:effectExtent l="0" t="1270" r="0" b="381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0" cy="25209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318E" w:rsidRDefault="004E318E" w:rsidP="00020211">
                            <w:pPr>
                              <w:rPr>
                                <w:rFonts w:ascii="Arial" w:hAnsi="Arial" w:cs="Arial"/>
                                <w:sz w:val="11"/>
                                <w:szCs w:val="11"/>
                              </w:rPr>
                            </w:pPr>
                            <w:r>
                              <w:rPr>
                                <w:rFonts w:ascii="Arial" w:hAnsi="Arial" w:cs="Arial"/>
                                <w:sz w:val="11"/>
                                <w:szCs w:val="11"/>
                              </w:rPr>
                              <w:t>Dry Sorbent Injection System</w:t>
                            </w:r>
                          </w:p>
                          <w:p w:rsidR="004E318E" w:rsidRPr="000A2F92" w:rsidRDefault="004E318E" w:rsidP="00020211">
                            <w:pPr>
                              <w:jc w:val="center"/>
                              <w:rPr>
                                <w:rFonts w:ascii="Arial" w:hAnsi="Arial" w:cs="Arial"/>
                                <w:sz w:val="11"/>
                                <w:szCs w:val="11"/>
                              </w:rPr>
                            </w:pPr>
                            <w:r>
                              <w:rPr>
                                <w:rFonts w:ascii="Arial" w:hAnsi="Arial" w:cs="Arial"/>
                                <w:sz w:val="11"/>
                                <w:szCs w:val="11"/>
                              </w:rPr>
                              <w:t>(DSIS)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9" o:spid="_x0000_s1036" type="#_x0000_t202" style="position:absolute;left:0;text-align:left;margin-left:173.6pt;margin-top:211.4pt;width:95.5pt;height:19.85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" fillcolor="white [3212]" stroked="f">
                <v:textbox style="mso-fit-shape-to-text:t">
                  <w:txbxContent>
                    <w:p w:rsidR="004E318E" w:rsidRDefault="004E318E" w:rsidP="00020211">
                      <w:pPr>
                        <w:rPr>
                          <w:rFonts w:ascii="Arial" w:hAnsi="Arial" w:cs="Arial"/>
                          <w:sz w:val="11"/>
                          <w:szCs w:val="11"/>
                        </w:rPr>
                      </w:pPr>
                      <w:r>
                        <w:rPr>
                          <w:rFonts w:ascii="Arial" w:hAnsi="Arial" w:cs="Arial"/>
                          <w:sz w:val="11"/>
                          <w:szCs w:val="11"/>
                        </w:rPr>
                        <w:t>Dry Sorbent Injection System</w:t>
                      </w:r>
                    </w:p>
                    <w:p w:rsidR="004E318E" w:rsidRPr="000A2F92" w:rsidRDefault="004E318E" w:rsidP="00020211">
                      <w:pPr>
                        <w:jc w:val="center"/>
                        <w:rPr>
                          <w:rFonts w:ascii="Arial" w:hAnsi="Arial" w:cs="Arial"/>
                          <w:sz w:val="11"/>
                          <w:szCs w:val="11"/>
                        </w:rPr>
                      </w:pPr>
                      <w:r>
                        <w:rPr>
                          <w:rFonts w:ascii="Arial" w:hAnsi="Arial" w:cs="Arial"/>
                          <w:sz w:val="11"/>
                          <w:szCs w:val="11"/>
                        </w:rPr>
                        <w:t>(DSIS)</w:t>
                      </w:r>
                    </w:p>
                  </w:txbxContent>
                </v:textbox>
              </v:shape>
            </w:pict>
          </mc:Fallback>
        </mc:AlternateContent>
      </w:r>
      <w:r>
        <w:rPr>
          <w:noProof/>
          <w:color w:val="000000" w:themeColor="text1"/>
          <w:sz w:val="22"/>
          <w:szCs w:val="22"/>
        </w:rPr>
        <w:drawing>
          <wp:inline distT="0" distB="0" distL="0" distR="0" wp14:anchorId="14410E2F" wp14:editId="1EC9E57C">
            <wp:extent cx="5943600" cy="3834174"/>
            <wp:effectExtent l="57150" t="38100" r="38100" b="13926"/>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srcRect/>
                    <a:stretch>
                      <a:fillRect/>
                    </a:stretch>
                  </pic:blipFill>
                  <pic:spPr bwMode="auto">
                    <a:xfrm>
                      <a:off x="0" y="0"/>
                      <a:ext cx="5943600" cy="3834174"/>
                    </a:xfrm>
                    <a:prstGeom prst="rect">
                      <a:avLst/>
                    </a:prstGeom>
                    <a:ln w="38100" cap="sq" cmpd="thickThin">
                      <a:solidFill>
                        <a:srgbClr val="000000"/>
                      </a:solidFill>
                      <a:prstDash val="solid"/>
                      <a:miter lim="800000"/>
                    </a:ln>
                    <a:effectLst>
                      <a:innerShdw blurRad="76200">
                        <a:srgbClr val="000000"/>
                      </a:innerShdw>
                    </a:effectLst>
                  </pic:spPr>
                </pic:pic>
              </a:graphicData>
            </a:graphic>
          </wp:inline>
        </w:drawing>
      </w:r>
    </w:p>
    <w:p w:rsidR="00020211" w:rsidRDefault="00AB2A83" w:rsidP="00CF4EEA">
      <w:pPr>
        <w:pStyle w:val="Caption"/>
        <w:spacing w:before="120"/>
        <w:jc w:val="center"/>
        <w:rPr>
          <w:rFonts w:ascii="Times New Roman Bold" w:hAnsi="Times New Roman Bold"/>
          <w:caps w:val="0"/>
        </w:rPr>
      </w:pPr>
      <w:bookmarkStart w:id="6" w:name="_Ref479159808"/>
      <w:r w:rsidRPr="00AB2A83">
        <w:rPr>
          <w:rFonts w:ascii="Times New Roman Bold" w:hAnsi="Times New Roman Bold"/>
          <w:caps w:val="0"/>
        </w:rPr>
        <w:t xml:space="preserve">Figure </w:t>
      </w:r>
      <w:r w:rsidRPr="00AB2A83">
        <w:rPr>
          <w:rFonts w:ascii="Times New Roman Bold" w:hAnsi="Times New Roman Bold"/>
          <w:caps w:val="0"/>
        </w:rPr>
        <w:fldChar w:fldCharType="begin"/>
      </w:r>
      <w:r w:rsidRPr="00AB2A83">
        <w:rPr>
          <w:rFonts w:ascii="Times New Roman Bold" w:hAnsi="Times New Roman Bold"/>
          <w:caps w:val="0"/>
        </w:rPr>
        <w:instrText xml:space="preserve"> SEQ Figure \* ARABIC </w:instrText>
      </w:r>
      <w:r w:rsidRPr="00AB2A83">
        <w:rPr>
          <w:rFonts w:ascii="Times New Roman Bold" w:hAnsi="Times New Roman Bold"/>
          <w:caps w:val="0"/>
        </w:rPr>
        <w:fldChar w:fldCharType="separate"/>
      </w:r>
      <w:r w:rsidR="005A4C55">
        <w:rPr>
          <w:rFonts w:ascii="Times New Roman Bold" w:hAnsi="Times New Roman Bold"/>
          <w:caps w:val="0"/>
          <w:noProof/>
        </w:rPr>
        <w:t>4</w:t>
      </w:r>
      <w:r w:rsidRPr="00AB2A83">
        <w:rPr>
          <w:rFonts w:ascii="Times New Roman Bold" w:hAnsi="Times New Roman Bold"/>
          <w:caps w:val="0"/>
        </w:rPr>
        <w:fldChar w:fldCharType="end"/>
      </w:r>
      <w:bookmarkEnd w:id="6"/>
      <w:r>
        <w:rPr>
          <w:rFonts w:ascii="Times New Roman Bold" w:hAnsi="Times New Roman Bold"/>
          <w:caps w:val="0"/>
        </w:rPr>
        <w:t xml:space="preserve">.  </w:t>
      </w:r>
      <w:r w:rsidRPr="00AB2A83">
        <w:rPr>
          <w:rFonts w:ascii="Times New Roman Bold" w:hAnsi="Times New Roman Bold"/>
          <w:caps w:val="0"/>
        </w:rPr>
        <w:t xml:space="preserve">Simplified </w:t>
      </w:r>
      <w:r>
        <w:rPr>
          <w:rFonts w:ascii="Times New Roman Bold" w:hAnsi="Times New Roman Bold"/>
          <w:caps w:val="0"/>
        </w:rPr>
        <w:t>d</w:t>
      </w:r>
      <w:r w:rsidRPr="00AB2A83">
        <w:rPr>
          <w:rFonts w:ascii="Times New Roman Bold" w:hAnsi="Times New Roman Bold"/>
          <w:caps w:val="0"/>
        </w:rPr>
        <w:t xml:space="preserve">iagram of </w:t>
      </w:r>
      <w:r>
        <w:rPr>
          <w:rFonts w:ascii="Times New Roman Bold" w:hAnsi="Times New Roman Bold"/>
          <w:caps w:val="0"/>
        </w:rPr>
        <w:t>a</w:t>
      </w:r>
      <w:r w:rsidRPr="00AB2A83">
        <w:rPr>
          <w:rFonts w:ascii="Times New Roman Bold" w:hAnsi="Times New Roman Bold"/>
          <w:caps w:val="0"/>
        </w:rPr>
        <w:t xml:space="preserve">pplicant’s </w:t>
      </w:r>
      <w:r>
        <w:rPr>
          <w:rFonts w:ascii="Times New Roman Bold" w:hAnsi="Times New Roman Bold"/>
          <w:caps w:val="0"/>
        </w:rPr>
        <w:t>p</w:t>
      </w:r>
      <w:r w:rsidRPr="00AB2A83">
        <w:rPr>
          <w:rFonts w:ascii="Times New Roman Bold" w:hAnsi="Times New Roman Bold"/>
          <w:caps w:val="0"/>
        </w:rPr>
        <w:t xml:space="preserve">roposed HEF </w:t>
      </w:r>
      <w:r>
        <w:rPr>
          <w:rFonts w:ascii="Times New Roman Bold" w:hAnsi="Times New Roman Bold"/>
          <w:caps w:val="0"/>
        </w:rPr>
        <w:t>s</w:t>
      </w:r>
      <w:r w:rsidRPr="00AB2A83">
        <w:rPr>
          <w:rFonts w:ascii="Times New Roman Bold" w:hAnsi="Times New Roman Bold"/>
          <w:caps w:val="0"/>
        </w:rPr>
        <w:t xml:space="preserve">team and </w:t>
      </w:r>
      <w:r>
        <w:rPr>
          <w:rFonts w:ascii="Times New Roman Bold" w:hAnsi="Times New Roman Bold"/>
          <w:caps w:val="0"/>
        </w:rPr>
        <w:t>e</w:t>
      </w:r>
      <w:r w:rsidRPr="00AB2A83">
        <w:rPr>
          <w:rFonts w:ascii="Times New Roman Bold" w:hAnsi="Times New Roman Bold"/>
          <w:caps w:val="0"/>
        </w:rPr>
        <w:t xml:space="preserve">lectricity </w:t>
      </w:r>
      <w:r>
        <w:rPr>
          <w:rFonts w:ascii="Times New Roman Bold" w:hAnsi="Times New Roman Bold"/>
          <w:caps w:val="0"/>
        </w:rPr>
        <w:t>p</w:t>
      </w:r>
      <w:r w:rsidRPr="00AB2A83">
        <w:rPr>
          <w:rFonts w:ascii="Times New Roman Bold" w:hAnsi="Times New Roman Bold"/>
          <w:caps w:val="0"/>
        </w:rPr>
        <w:t xml:space="preserve">roduction </w:t>
      </w:r>
      <w:r>
        <w:rPr>
          <w:rFonts w:ascii="Times New Roman Bold" w:hAnsi="Times New Roman Bold"/>
          <w:caps w:val="0"/>
        </w:rPr>
        <w:t>c</w:t>
      </w:r>
      <w:r w:rsidRPr="00AB2A83">
        <w:rPr>
          <w:rFonts w:ascii="Times New Roman Bold" w:hAnsi="Times New Roman Bold"/>
          <w:caps w:val="0"/>
        </w:rPr>
        <w:t>ycles.</w:t>
      </w:r>
    </w:p>
    <w:p w:rsidR="00CF4EEA" w:rsidRDefault="00CF4EEA" w:rsidP="00CF4EEA">
      <w:pPr>
        <w:widowControl w:val="0"/>
        <w:spacing w:after="120"/>
        <w:jc w:val="both"/>
        <w:rPr>
          <w:color w:val="000000" w:themeColor="text1"/>
          <w:sz w:val="22"/>
          <w:szCs w:val="22"/>
        </w:rPr>
      </w:pPr>
      <w:r>
        <w:rPr>
          <w:color w:val="000000" w:themeColor="text1"/>
          <w:sz w:val="22"/>
          <w:szCs w:val="22"/>
        </w:rPr>
        <w:t>The proposed pollution control systems as described by the applicant include:</w:t>
      </w:r>
    </w:p>
    <w:p w:rsidR="00CF4EEA" w:rsidRPr="001A2A1F" w:rsidRDefault="00CF4EEA" w:rsidP="00CF4EEA">
      <w:pPr>
        <w:pStyle w:val="ListParagraph"/>
        <w:widowControl w:val="0"/>
        <w:numPr>
          <w:ilvl w:val="0"/>
          <w:numId w:val="22"/>
        </w:numPr>
        <w:spacing w:after="60"/>
        <w:ind w:left="360"/>
        <w:contextualSpacing w:val="0"/>
        <w:rPr>
          <w:color w:val="000000" w:themeColor="text1"/>
          <w:sz w:val="22"/>
          <w:szCs w:val="22"/>
        </w:rPr>
      </w:pPr>
      <w:r w:rsidRPr="00CD4141">
        <w:rPr>
          <w:color w:val="000000" w:themeColor="text1"/>
          <w:sz w:val="22"/>
          <w:szCs w:val="22"/>
        </w:rPr>
        <w:t xml:space="preserve">Selective non-catalytic reduction (SNCR) </w:t>
      </w:r>
      <w:r>
        <w:rPr>
          <w:color w:val="000000" w:themeColor="text1"/>
          <w:sz w:val="22"/>
          <w:szCs w:val="22"/>
        </w:rPr>
        <w:t>based on urea [(NH</w:t>
      </w:r>
      <w:r w:rsidRPr="007D3DDF">
        <w:rPr>
          <w:color w:val="000000" w:themeColor="text1"/>
          <w:sz w:val="22"/>
          <w:szCs w:val="22"/>
          <w:vertAlign w:val="subscript"/>
        </w:rPr>
        <w:t>2</w:t>
      </w:r>
      <w:r>
        <w:rPr>
          <w:color w:val="000000" w:themeColor="text1"/>
          <w:sz w:val="22"/>
          <w:szCs w:val="22"/>
        </w:rPr>
        <w:t>)</w:t>
      </w:r>
      <w:r w:rsidRPr="007D3DDF">
        <w:rPr>
          <w:color w:val="000000" w:themeColor="text1"/>
          <w:sz w:val="22"/>
          <w:szCs w:val="22"/>
          <w:vertAlign w:val="subscript"/>
        </w:rPr>
        <w:t>2</w:t>
      </w:r>
      <w:r>
        <w:rPr>
          <w:color w:val="000000" w:themeColor="text1"/>
          <w:sz w:val="22"/>
          <w:szCs w:val="22"/>
        </w:rPr>
        <w:t>CO] or ammonia (NH</w:t>
      </w:r>
      <w:r w:rsidRPr="00864834">
        <w:rPr>
          <w:color w:val="000000" w:themeColor="text1"/>
          <w:sz w:val="22"/>
          <w:szCs w:val="22"/>
          <w:vertAlign w:val="subscript"/>
        </w:rPr>
        <w:t>3</w:t>
      </w:r>
      <w:r>
        <w:rPr>
          <w:color w:val="000000" w:themeColor="text1"/>
          <w:sz w:val="22"/>
          <w:szCs w:val="22"/>
        </w:rPr>
        <w:t>) injection</w:t>
      </w:r>
      <w:r w:rsidRPr="00CD4141">
        <w:rPr>
          <w:color w:val="000000" w:themeColor="text1"/>
          <w:sz w:val="22"/>
          <w:szCs w:val="22"/>
        </w:rPr>
        <w:t xml:space="preserve"> and a </w:t>
      </w:r>
      <w:r>
        <w:rPr>
          <w:color w:val="000000" w:themeColor="text1"/>
          <w:sz w:val="22"/>
          <w:szCs w:val="22"/>
        </w:rPr>
        <w:t xml:space="preserve">high performance </w:t>
      </w:r>
      <w:r w:rsidRPr="00CD4141">
        <w:rPr>
          <w:color w:val="000000" w:themeColor="text1"/>
          <w:sz w:val="22"/>
          <w:szCs w:val="22"/>
        </w:rPr>
        <w:t>overfire air (OFA) system for minimizing emissions of nitr</w:t>
      </w:r>
      <w:r w:rsidRPr="001A2A1F">
        <w:rPr>
          <w:color w:val="000000" w:themeColor="text1"/>
          <w:sz w:val="22"/>
          <w:szCs w:val="22"/>
        </w:rPr>
        <w:t>ogen oxides (NO</w:t>
      </w:r>
      <w:r w:rsidRPr="001A2A1F">
        <w:rPr>
          <w:color w:val="000000" w:themeColor="text1"/>
          <w:sz w:val="22"/>
          <w:szCs w:val="22"/>
          <w:vertAlign w:val="subscript"/>
        </w:rPr>
        <w:t>X</w:t>
      </w:r>
      <w:r w:rsidRPr="001A2A1F">
        <w:rPr>
          <w:color w:val="000000" w:themeColor="text1"/>
          <w:sz w:val="22"/>
          <w:szCs w:val="22"/>
        </w:rPr>
        <w:t>);</w:t>
      </w:r>
    </w:p>
    <w:p w:rsidR="00CF4EEA" w:rsidRPr="00CD4141" w:rsidRDefault="00CF4EEA" w:rsidP="00CF4EEA">
      <w:pPr>
        <w:pStyle w:val="ListParagraph"/>
        <w:widowControl w:val="0"/>
        <w:numPr>
          <w:ilvl w:val="0"/>
          <w:numId w:val="22"/>
        </w:numPr>
        <w:spacing w:after="60"/>
        <w:ind w:left="360"/>
        <w:contextualSpacing w:val="0"/>
        <w:rPr>
          <w:color w:val="000000" w:themeColor="text1"/>
          <w:sz w:val="22"/>
          <w:szCs w:val="22"/>
        </w:rPr>
      </w:pPr>
      <w:r w:rsidRPr="001A2A1F">
        <w:rPr>
          <w:color w:val="000000" w:themeColor="text1"/>
          <w:sz w:val="22"/>
          <w:szCs w:val="22"/>
        </w:rPr>
        <w:t>Low-NO</w:t>
      </w:r>
      <w:r w:rsidRPr="001A2A1F">
        <w:rPr>
          <w:color w:val="000000" w:themeColor="text1"/>
          <w:sz w:val="22"/>
          <w:szCs w:val="22"/>
          <w:vertAlign w:val="subscript"/>
        </w:rPr>
        <w:t>X</w:t>
      </w:r>
      <w:r w:rsidRPr="001A2A1F">
        <w:rPr>
          <w:color w:val="000000" w:themeColor="text1"/>
          <w:sz w:val="22"/>
          <w:szCs w:val="22"/>
        </w:rPr>
        <w:t xml:space="preserve"> burners (LNB) for firing natural gas</w:t>
      </w:r>
      <w:r>
        <w:rPr>
          <w:color w:val="000000" w:themeColor="text1"/>
          <w:sz w:val="22"/>
          <w:szCs w:val="22"/>
        </w:rPr>
        <w:t>;</w:t>
      </w:r>
    </w:p>
    <w:p w:rsidR="00CF4EEA" w:rsidRDefault="00CF4EEA" w:rsidP="00CF4EEA">
      <w:pPr>
        <w:pStyle w:val="ListParagraph"/>
        <w:widowControl w:val="0"/>
        <w:numPr>
          <w:ilvl w:val="0"/>
          <w:numId w:val="22"/>
        </w:numPr>
        <w:spacing w:after="60"/>
        <w:ind w:left="360"/>
        <w:contextualSpacing w:val="0"/>
        <w:rPr>
          <w:color w:val="000000" w:themeColor="text1"/>
          <w:sz w:val="22"/>
          <w:szCs w:val="22"/>
        </w:rPr>
      </w:pPr>
      <w:r w:rsidRPr="00C07996">
        <w:rPr>
          <w:color w:val="000000" w:themeColor="text1"/>
          <w:sz w:val="22"/>
          <w:szCs w:val="22"/>
        </w:rPr>
        <w:t xml:space="preserve">Mechanical collectors and an electrostatic precipitator (ESP) will be used for control of particulate matter </w:t>
      </w:r>
      <w:r w:rsidRPr="00C07996">
        <w:rPr>
          <w:color w:val="000000" w:themeColor="text1"/>
          <w:sz w:val="22"/>
          <w:szCs w:val="22"/>
        </w:rPr>
        <w:lastRenderedPageBreak/>
        <w:t>(PM) and metals emissions;</w:t>
      </w:r>
    </w:p>
    <w:p w:rsidR="00CF4EEA" w:rsidRPr="00CD4141" w:rsidRDefault="00CF4EEA" w:rsidP="00CF4EEA">
      <w:pPr>
        <w:pStyle w:val="ListParagraph"/>
        <w:widowControl w:val="0"/>
        <w:numPr>
          <w:ilvl w:val="0"/>
          <w:numId w:val="22"/>
        </w:numPr>
        <w:spacing w:after="60"/>
        <w:ind w:left="360"/>
        <w:contextualSpacing w:val="0"/>
        <w:rPr>
          <w:color w:val="000000" w:themeColor="text1"/>
          <w:sz w:val="22"/>
          <w:szCs w:val="22"/>
        </w:rPr>
      </w:pPr>
      <w:r w:rsidRPr="00CD4141">
        <w:rPr>
          <w:color w:val="000000" w:themeColor="text1"/>
          <w:sz w:val="22"/>
          <w:szCs w:val="22"/>
        </w:rPr>
        <w:t>Use of very low-sulfur fuels to control emissions of sulfur dioxide (SO</w:t>
      </w:r>
      <w:r w:rsidRPr="007A6E54">
        <w:rPr>
          <w:color w:val="000000" w:themeColor="text1"/>
          <w:sz w:val="22"/>
          <w:szCs w:val="22"/>
          <w:vertAlign w:val="subscript"/>
        </w:rPr>
        <w:t>2</w:t>
      </w:r>
      <w:r w:rsidRPr="00CD4141">
        <w:rPr>
          <w:color w:val="000000" w:themeColor="text1"/>
          <w:sz w:val="22"/>
          <w:szCs w:val="22"/>
        </w:rPr>
        <w:t>) and other acid gases</w:t>
      </w:r>
      <w:r>
        <w:rPr>
          <w:color w:val="000000" w:themeColor="text1"/>
          <w:sz w:val="22"/>
          <w:szCs w:val="22"/>
        </w:rPr>
        <w:t xml:space="preserve">; </w:t>
      </w:r>
    </w:p>
    <w:p w:rsidR="00CF4EEA" w:rsidRPr="00CD4141" w:rsidRDefault="00CF4EEA" w:rsidP="00CF4EEA">
      <w:pPr>
        <w:pStyle w:val="ListParagraph"/>
        <w:widowControl w:val="0"/>
        <w:numPr>
          <w:ilvl w:val="0"/>
          <w:numId w:val="22"/>
        </w:numPr>
        <w:spacing w:after="60"/>
        <w:ind w:left="360"/>
        <w:contextualSpacing w:val="0"/>
        <w:rPr>
          <w:color w:val="000000" w:themeColor="text1"/>
          <w:sz w:val="22"/>
          <w:szCs w:val="22"/>
        </w:rPr>
      </w:pPr>
      <w:r w:rsidRPr="00CD4141">
        <w:rPr>
          <w:color w:val="000000" w:themeColor="text1"/>
          <w:sz w:val="22"/>
          <w:szCs w:val="22"/>
        </w:rPr>
        <w:t xml:space="preserve">Use of clean biomass and </w:t>
      </w:r>
      <w:r>
        <w:rPr>
          <w:color w:val="000000" w:themeColor="text1"/>
          <w:sz w:val="22"/>
          <w:szCs w:val="22"/>
        </w:rPr>
        <w:t xml:space="preserve">natural gas </w:t>
      </w:r>
      <w:r w:rsidRPr="00CD4141">
        <w:rPr>
          <w:color w:val="000000" w:themeColor="text1"/>
          <w:sz w:val="22"/>
          <w:szCs w:val="22"/>
        </w:rPr>
        <w:t>will also control emissions of mercury (Hg) and lead (Pb)</w:t>
      </w:r>
      <w:r>
        <w:rPr>
          <w:color w:val="000000" w:themeColor="text1"/>
          <w:sz w:val="22"/>
          <w:szCs w:val="22"/>
        </w:rPr>
        <w:t xml:space="preserve">; </w:t>
      </w:r>
    </w:p>
    <w:p w:rsidR="00CF4EEA" w:rsidRDefault="00CF4EEA" w:rsidP="00CF4EEA">
      <w:pPr>
        <w:pStyle w:val="ListParagraph"/>
        <w:widowControl w:val="0"/>
        <w:numPr>
          <w:ilvl w:val="0"/>
          <w:numId w:val="22"/>
        </w:numPr>
        <w:spacing w:after="60"/>
        <w:ind w:left="360"/>
        <w:contextualSpacing w:val="0"/>
        <w:rPr>
          <w:color w:val="000000" w:themeColor="text1"/>
          <w:sz w:val="22"/>
          <w:szCs w:val="22"/>
        </w:rPr>
      </w:pPr>
      <w:r>
        <w:rPr>
          <w:color w:val="000000" w:themeColor="text1"/>
          <w:sz w:val="22"/>
          <w:szCs w:val="22"/>
        </w:rPr>
        <w:t xml:space="preserve">The </w:t>
      </w:r>
      <w:r w:rsidRPr="00AC152A">
        <w:rPr>
          <w:color w:val="000000" w:themeColor="text1"/>
          <w:sz w:val="22"/>
          <w:szCs w:val="22"/>
        </w:rPr>
        <w:t xml:space="preserve">modern OFA system will </w:t>
      </w:r>
      <w:r>
        <w:rPr>
          <w:color w:val="000000" w:themeColor="text1"/>
          <w:sz w:val="22"/>
          <w:szCs w:val="22"/>
        </w:rPr>
        <w:t xml:space="preserve">also </w:t>
      </w:r>
      <w:r w:rsidRPr="00AC152A">
        <w:rPr>
          <w:color w:val="000000" w:themeColor="text1"/>
          <w:sz w:val="22"/>
          <w:szCs w:val="22"/>
        </w:rPr>
        <w:t xml:space="preserve">control emissions of carbon monoxide (CO) and </w:t>
      </w:r>
      <w:r>
        <w:rPr>
          <w:color w:val="000000" w:themeColor="text1"/>
          <w:sz w:val="22"/>
          <w:szCs w:val="22"/>
        </w:rPr>
        <w:t>volatile organic compounds (</w:t>
      </w:r>
      <w:r w:rsidRPr="00AC152A">
        <w:rPr>
          <w:color w:val="000000" w:themeColor="text1"/>
          <w:sz w:val="22"/>
          <w:szCs w:val="22"/>
        </w:rPr>
        <w:t>VOC</w:t>
      </w:r>
      <w:r>
        <w:rPr>
          <w:color w:val="000000" w:themeColor="text1"/>
          <w:sz w:val="22"/>
          <w:szCs w:val="22"/>
        </w:rPr>
        <w:t>);</w:t>
      </w:r>
      <w:r w:rsidR="0037519B">
        <w:rPr>
          <w:color w:val="000000" w:themeColor="text1"/>
          <w:sz w:val="22"/>
          <w:szCs w:val="22"/>
        </w:rPr>
        <w:t xml:space="preserve"> and</w:t>
      </w:r>
    </w:p>
    <w:p w:rsidR="00CF4EEA" w:rsidRPr="00AC152A" w:rsidRDefault="00CF4EEA" w:rsidP="00CF4EEA">
      <w:pPr>
        <w:pStyle w:val="ListParagraph"/>
        <w:widowControl w:val="0"/>
        <w:numPr>
          <w:ilvl w:val="0"/>
          <w:numId w:val="22"/>
        </w:numPr>
        <w:spacing w:after="60"/>
        <w:ind w:left="360"/>
        <w:contextualSpacing w:val="0"/>
        <w:rPr>
          <w:color w:val="000000" w:themeColor="text1"/>
          <w:sz w:val="22"/>
          <w:szCs w:val="22"/>
        </w:rPr>
      </w:pPr>
      <w:r>
        <w:rPr>
          <w:color w:val="000000" w:themeColor="text1"/>
          <w:sz w:val="22"/>
          <w:szCs w:val="22"/>
        </w:rPr>
        <w:t>Oxidation catalyst (Ox-cat) will be used to provide further CO and VOC control as well as control of organic hazardous air pollutants (HAP)</w:t>
      </w:r>
      <w:r w:rsidRPr="00AC152A">
        <w:rPr>
          <w:color w:val="000000" w:themeColor="text1"/>
          <w:sz w:val="22"/>
          <w:szCs w:val="22"/>
        </w:rPr>
        <w:t>.</w:t>
      </w:r>
    </w:p>
    <w:p w:rsidR="00CF4EEA" w:rsidRPr="008D159A" w:rsidRDefault="00CF4EEA" w:rsidP="00CF4EEA">
      <w:pPr>
        <w:widowControl w:val="0"/>
        <w:spacing w:after="120"/>
        <w:rPr>
          <w:b/>
          <w:sz w:val="22"/>
          <w:szCs w:val="22"/>
          <w:u w:val="single"/>
        </w:rPr>
      </w:pPr>
      <w:r w:rsidRPr="008D159A">
        <w:rPr>
          <w:color w:val="000000" w:themeColor="text1"/>
          <w:sz w:val="22"/>
          <w:szCs w:val="22"/>
        </w:rPr>
        <w:t>For reference, control of PM also accomplishes control of PM with a diameter less than 10 micrometers (PM</w:t>
      </w:r>
      <w:r w:rsidRPr="008D159A">
        <w:rPr>
          <w:color w:val="000000" w:themeColor="text1"/>
          <w:sz w:val="22"/>
          <w:szCs w:val="22"/>
          <w:vertAlign w:val="subscript"/>
        </w:rPr>
        <w:t>10</w:t>
      </w:r>
      <w:r w:rsidRPr="008D159A">
        <w:rPr>
          <w:color w:val="000000" w:themeColor="text1"/>
          <w:sz w:val="22"/>
          <w:szCs w:val="22"/>
        </w:rPr>
        <w:t>) and less than 2.5 micrometers (PM</w:t>
      </w:r>
      <w:r w:rsidRPr="008D159A">
        <w:rPr>
          <w:color w:val="000000" w:themeColor="text1"/>
          <w:sz w:val="22"/>
          <w:szCs w:val="22"/>
          <w:vertAlign w:val="subscript"/>
        </w:rPr>
        <w:t>2.5</w:t>
      </w:r>
      <w:r w:rsidRPr="008D159A">
        <w:rPr>
          <w:color w:val="000000" w:themeColor="text1"/>
          <w:sz w:val="22"/>
          <w:szCs w:val="22"/>
        </w:rPr>
        <w:t>).  Control/minimization of PM, PM</w:t>
      </w:r>
      <w:r w:rsidRPr="008D159A">
        <w:rPr>
          <w:color w:val="000000" w:themeColor="text1"/>
          <w:sz w:val="22"/>
          <w:szCs w:val="22"/>
          <w:vertAlign w:val="subscript"/>
        </w:rPr>
        <w:t>10</w:t>
      </w:r>
      <w:r w:rsidRPr="008D159A">
        <w:rPr>
          <w:color w:val="000000" w:themeColor="text1"/>
          <w:sz w:val="22"/>
          <w:szCs w:val="22"/>
        </w:rPr>
        <w:t>, PM</w:t>
      </w:r>
      <w:r w:rsidRPr="008D159A">
        <w:rPr>
          <w:color w:val="000000" w:themeColor="text1"/>
          <w:sz w:val="22"/>
          <w:szCs w:val="22"/>
          <w:vertAlign w:val="subscript"/>
        </w:rPr>
        <w:t>2.5</w:t>
      </w:r>
      <w:r w:rsidRPr="008D159A">
        <w:rPr>
          <w:color w:val="000000" w:themeColor="text1"/>
          <w:sz w:val="22"/>
          <w:szCs w:val="22"/>
        </w:rPr>
        <w:t>, NO</w:t>
      </w:r>
      <w:r w:rsidRPr="008D159A">
        <w:rPr>
          <w:color w:val="000000" w:themeColor="text1"/>
          <w:sz w:val="22"/>
          <w:szCs w:val="22"/>
          <w:vertAlign w:val="subscript"/>
        </w:rPr>
        <w:t>X</w:t>
      </w:r>
      <w:r w:rsidRPr="008D159A">
        <w:rPr>
          <w:color w:val="000000" w:themeColor="text1"/>
          <w:sz w:val="22"/>
          <w:szCs w:val="22"/>
        </w:rPr>
        <w:t>, SO</w:t>
      </w:r>
      <w:r w:rsidRPr="008D159A">
        <w:rPr>
          <w:color w:val="000000" w:themeColor="text1"/>
          <w:sz w:val="22"/>
          <w:szCs w:val="22"/>
          <w:vertAlign w:val="subscript"/>
        </w:rPr>
        <w:t>2</w:t>
      </w:r>
      <w:r w:rsidRPr="008D159A">
        <w:rPr>
          <w:color w:val="000000" w:themeColor="text1"/>
          <w:sz w:val="22"/>
          <w:szCs w:val="22"/>
        </w:rPr>
        <w:t>, VOC and sulfuric acid mist (SAM</w:t>
      </w:r>
      <w:r w:rsidRPr="008D159A">
        <w:rPr>
          <w:b/>
          <w:color w:val="000000" w:themeColor="text1"/>
          <w:sz w:val="22"/>
          <w:szCs w:val="22"/>
        </w:rPr>
        <w:t xml:space="preserve"> – </w:t>
      </w:r>
      <w:r w:rsidRPr="008D159A">
        <w:rPr>
          <w:color w:val="000000" w:themeColor="text1"/>
          <w:sz w:val="22"/>
          <w:szCs w:val="22"/>
        </w:rPr>
        <w:t>H</w:t>
      </w:r>
      <w:r w:rsidRPr="008D159A">
        <w:rPr>
          <w:color w:val="000000" w:themeColor="text1"/>
          <w:sz w:val="22"/>
          <w:szCs w:val="22"/>
          <w:vertAlign w:val="subscript"/>
        </w:rPr>
        <w:t>2</w:t>
      </w:r>
      <w:r w:rsidRPr="008D159A">
        <w:rPr>
          <w:color w:val="000000" w:themeColor="text1"/>
          <w:sz w:val="22"/>
          <w:szCs w:val="22"/>
        </w:rPr>
        <w:t>SO</w:t>
      </w:r>
      <w:r w:rsidRPr="008D159A">
        <w:rPr>
          <w:color w:val="000000" w:themeColor="text1"/>
          <w:sz w:val="22"/>
          <w:szCs w:val="22"/>
          <w:vertAlign w:val="subscript"/>
        </w:rPr>
        <w:t>4</w:t>
      </w:r>
      <w:r w:rsidRPr="008D159A">
        <w:rPr>
          <w:color w:val="000000" w:themeColor="text1"/>
          <w:sz w:val="22"/>
          <w:szCs w:val="22"/>
        </w:rPr>
        <w:t xml:space="preserve">) emissions will also control PM with </w:t>
      </w:r>
      <w:proofErr w:type="gramStart"/>
      <w:r w:rsidRPr="008D159A">
        <w:rPr>
          <w:color w:val="000000" w:themeColor="text1"/>
          <w:sz w:val="22"/>
          <w:szCs w:val="22"/>
        </w:rPr>
        <w:t>an aerodynamic diameter less than 2.5 micrometers</w:t>
      </w:r>
      <w:proofErr w:type="gramEnd"/>
      <w:r w:rsidRPr="008D159A">
        <w:rPr>
          <w:color w:val="000000" w:themeColor="text1"/>
          <w:sz w:val="22"/>
          <w:szCs w:val="22"/>
        </w:rPr>
        <w:t xml:space="preserve"> (PM</w:t>
      </w:r>
      <w:r w:rsidRPr="008D159A">
        <w:rPr>
          <w:color w:val="000000" w:themeColor="text1"/>
          <w:sz w:val="22"/>
          <w:szCs w:val="22"/>
          <w:vertAlign w:val="subscript"/>
        </w:rPr>
        <w:t>2.5</w:t>
      </w:r>
      <w:r w:rsidRPr="008D159A">
        <w:rPr>
          <w:color w:val="000000" w:themeColor="text1"/>
          <w:sz w:val="22"/>
          <w:szCs w:val="22"/>
        </w:rPr>
        <w:t>).  Measures such as OFA and LNB fall into the category of good combustion practices (GCP).</w:t>
      </w:r>
    </w:p>
    <w:p w:rsidR="00020211" w:rsidRPr="00691BCD" w:rsidRDefault="008D159A" w:rsidP="00691BCD">
      <w:pPr>
        <w:pStyle w:val="ListParagraph"/>
        <w:widowControl w:val="0"/>
        <w:numPr>
          <w:ilvl w:val="1"/>
          <w:numId w:val="15"/>
        </w:numPr>
        <w:spacing w:after="120"/>
        <w:ind w:left="720" w:hanging="720"/>
        <w:contextualSpacing w:val="0"/>
        <w:rPr>
          <w:b/>
          <w:sz w:val="22"/>
          <w:szCs w:val="22"/>
        </w:rPr>
      </w:pPr>
      <w:r w:rsidRPr="00691BCD">
        <w:rPr>
          <w:b/>
          <w:sz w:val="22"/>
          <w:szCs w:val="22"/>
        </w:rPr>
        <w:t xml:space="preserve"> </w:t>
      </w:r>
      <w:r w:rsidR="00020211" w:rsidRPr="00691BCD">
        <w:rPr>
          <w:b/>
          <w:sz w:val="22"/>
          <w:szCs w:val="22"/>
        </w:rPr>
        <w:t xml:space="preserve">(E.U. 003) Cooling Towers </w:t>
      </w:r>
    </w:p>
    <w:p w:rsidR="00020211" w:rsidRPr="007467A7" w:rsidRDefault="00020211" w:rsidP="00020211">
      <w:pPr>
        <w:spacing w:after="120"/>
        <w:rPr>
          <w:color w:val="000000" w:themeColor="text1"/>
          <w:sz w:val="22"/>
          <w:szCs w:val="22"/>
        </w:rPr>
      </w:pPr>
      <w:r w:rsidRPr="00E54B37">
        <w:rPr>
          <w:color w:val="000000" w:themeColor="text1"/>
          <w:sz w:val="22"/>
          <w:szCs w:val="22"/>
        </w:rPr>
        <w:t xml:space="preserve">The proposed HEF facility will </w:t>
      </w:r>
      <w:r>
        <w:rPr>
          <w:color w:val="000000" w:themeColor="text1"/>
          <w:sz w:val="22"/>
          <w:szCs w:val="22"/>
        </w:rPr>
        <w:t>utilize</w:t>
      </w:r>
      <w:r w:rsidRPr="00E54B37">
        <w:rPr>
          <w:color w:val="000000" w:themeColor="text1"/>
          <w:sz w:val="22"/>
          <w:szCs w:val="22"/>
        </w:rPr>
        <w:t xml:space="preserve"> </w:t>
      </w:r>
      <w:r>
        <w:rPr>
          <w:color w:val="000000" w:themeColor="text1"/>
          <w:sz w:val="22"/>
          <w:szCs w:val="22"/>
        </w:rPr>
        <w:t xml:space="preserve">up to three </w:t>
      </w:r>
      <w:r w:rsidRPr="00E54B37">
        <w:rPr>
          <w:color w:val="000000" w:themeColor="text1"/>
          <w:sz w:val="22"/>
          <w:szCs w:val="22"/>
        </w:rPr>
        <w:t>mechanical draft cooling tower</w:t>
      </w:r>
      <w:r>
        <w:rPr>
          <w:color w:val="000000" w:themeColor="text1"/>
          <w:sz w:val="22"/>
          <w:szCs w:val="22"/>
        </w:rPr>
        <w:t>s.</w:t>
      </w:r>
      <w:r w:rsidRPr="00D6339A">
        <w:rPr>
          <w:color w:val="000000" w:themeColor="text1"/>
          <w:sz w:val="22"/>
          <w:szCs w:val="22"/>
        </w:rPr>
        <w:t xml:space="preserve"> </w:t>
      </w:r>
      <w:r w:rsidRPr="00D6339A">
        <w:rPr>
          <w:szCs w:val="22"/>
        </w:rPr>
        <w:t xml:space="preserve"> </w:t>
      </w:r>
      <w:r>
        <w:rPr>
          <w:sz w:val="22"/>
          <w:szCs w:val="22"/>
        </w:rPr>
        <w:t xml:space="preserve">The cooling towers will be used for the cooling of </w:t>
      </w:r>
      <w:r w:rsidRPr="00B46380">
        <w:rPr>
          <w:sz w:val="22"/>
          <w:szCs w:val="22"/>
        </w:rPr>
        <w:t>miscellaneous machinery</w:t>
      </w:r>
      <w:r>
        <w:rPr>
          <w:sz w:val="22"/>
          <w:szCs w:val="22"/>
        </w:rPr>
        <w:t>,</w:t>
      </w:r>
      <w:r w:rsidRPr="00696CFF">
        <w:rPr>
          <w:sz w:val="22"/>
          <w:szCs w:val="22"/>
        </w:rPr>
        <w:t xml:space="preserve"> </w:t>
      </w:r>
      <w:r>
        <w:rPr>
          <w:sz w:val="22"/>
          <w:szCs w:val="22"/>
        </w:rPr>
        <w:t xml:space="preserve">the </w:t>
      </w:r>
      <w:r w:rsidRPr="00696CFF">
        <w:rPr>
          <w:sz w:val="22"/>
          <w:szCs w:val="22"/>
        </w:rPr>
        <w:t>condensing</w:t>
      </w:r>
      <w:r>
        <w:rPr>
          <w:sz w:val="22"/>
          <w:szCs w:val="22"/>
        </w:rPr>
        <w:t xml:space="preserve"> </w:t>
      </w:r>
      <w:r w:rsidRPr="00696CFF">
        <w:rPr>
          <w:sz w:val="22"/>
          <w:szCs w:val="22"/>
        </w:rPr>
        <w:t xml:space="preserve">set </w:t>
      </w:r>
      <w:r>
        <w:rPr>
          <w:sz w:val="22"/>
          <w:szCs w:val="22"/>
        </w:rPr>
        <w:t xml:space="preserve">and the process equipment used in ethanol production at the HEF facility. </w:t>
      </w:r>
      <w:r w:rsidRPr="00DB01D6">
        <w:rPr>
          <w:color w:val="000000" w:themeColor="text1"/>
          <w:sz w:val="22"/>
          <w:szCs w:val="22"/>
        </w:rPr>
        <w:t xml:space="preserve"> The design parameters for the cooling tower</w:t>
      </w:r>
      <w:r>
        <w:rPr>
          <w:color w:val="000000" w:themeColor="text1"/>
          <w:sz w:val="22"/>
          <w:szCs w:val="22"/>
        </w:rPr>
        <w:t>s</w:t>
      </w:r>
      <w:r w:rsidRPr="00DB01D6">
        <w:rPr>
          <w:color w:val="000000" w:themeColor="text1"/>
          <w:sz w:val="22"/>
          <w:szCs w:val="22"/>
        </w:rPr>
        <w:t xml:space="preserve"> are:  one cell with a stack height of 35 feet, a combined circulating water flow rate of 34,000 gallons per minute (gpm), a temperature of 77 °F and a design drift rate of 0.001%.</w:t>
      </w:r>
      <w:r w:rsidRPr="00E54B37">
        <w:rPr>
          <w:color w:val="000000" w:themeColor="text1"/>
          <w:sz w:val="22"/>
          <w:szCs w:val="22"/>
        </w:rPr>
        <w:t xml:space="preserve"> </w:t>
      </w:r>
      <w:r>
        <w:rPr>
          <w:color w:val="000000" w:themeColor="text1"/>
          <w:sz w:val="22"/>
          <w:szCs w:val="22"/>
        </w:rPr>
        <w:t xml:space="preserve"> </w:t>
      </w:r>
      <w:r w:rsidRPr="00E54B37">
        <w:rPr>
          <w:color w:val="000000" w:themeColor="text1"/>
          <w:sz w:val="22"/>
          <w:szCs w:val="22"/>
        </w:rPr>
        <w:t xml:space="preserve">Cooling tower make up </w:t>
      </w:r>
      <w:r>
        <w:rPr>
          <w:color w:val="000000" w:themeColor="text1"/>
          <w:sz w:val="22"/>
          <w:szCs w:val="22"/>
        </w:rPr>
        <w:t xml:space="preserve">water </w:t>
      </w:r>
      <w:r w:rsidRPr="00E54B37">
        <w:rPr>
          <w:color w:val="000000" w:themeColor="text1"/>
          <w:sz w:val="22"/>
          <w:szCs w:val="22"/>
        </w:rPr>
        <w:t xml:space="preserve">will be primarily a suitable recycled process water stream. </w:t>
      </w:r>
      <w:r>
        <w:rPr>
          <w:color w:val="000000" w:themeColor="text1"/>
          <w:sz w:val="22"/>
          <w:szCs w:val="22"/>
        </w:rPr>
        <w:t xml:space="preserve"> </w:t>
      </w:r>
      <w:r w:rsidRPr="00E54B37">
        <w:rPr>
          <w:color w:val="000000" w:themeColor="text1"/>
          <w:sz w:val="22"/>
          <w:szCs w:val="22"/>
        </w:rPr>
        <w:t>Cooling tower</w:t>
      </w:r>
      <w:r>
        <w:rPr>
          <w:color w:val="000000" w:themeColor="text1"/>
          <w:sz w:val="22"/>
          <w:szCs w:val="22"/>
        </w:rPr>
        <w:t xml:space="preserve"> </w:t>
      </w:r>
      <w:r w:rsidRPr="00E54B37">
        <w:rPr>
          <w:color w:val="000000" w:themeColor="text1"/>
          <w:sz w:val="22"/>
          <w:szCs w:val="22"/>
        </w:rPr>
        <w:t>blowdown will be treated to remove accumulated dissolved solids and then reused for cooling tower</w:t>
      </w:r>
      <w:r>
        <w:rPr>
          <w:color w:val="000000" w:themeColor="text1"/>
          <w:sz w:val="22"/>
          <w:szCs w:val="22"/>
        </w:rPr>
        <w:t xml:space="preserve"> </w:t>
      </w:r>
      <w:r w:rsidRPr="00E54B37">
        <w:rPr>
          <w:color w:val="000000" w:themeColor="text1"/>
          <w:sz w:val="22"/>
          <w:szCs w:val="22"/>
        </w:rPr>
        <w:t>makeup.</w:t>
      </w:r>
    </w:p>
    <w:p w:rsidR="00020211" w:rsidRPr="00691BCD" w:rsidRDefault="00020211" w:rsidP="00691BCD">
      <w:pPr>
        <w:pStyle w:val="ListParagraph"/>
        <w:widowControl w:val="0"/>
        <w:numPr>
          <w:ilvl w:val="1"/>
          <w:numId w:val="15"/>
        </w:numPr>
        <w:spacing w:after="120"/>
        <w:ind w:left="720" w:hanging="720"/>
        <w:contextualSpacing w:val="0"/>
        <w:rPr>
          <w:b/>
          <w:sz w:val="22"/>
          <w:szCs w:val="22"/>
        </w:rPr>
      </w:pPr>
      <w:r w:rsidRPr="00691BCD">
        <w:rPr>
          <w:b/>
          <w:sz w:val="22"/>
          <w:szCs w:val="22"/>
        </w:rPr>
        <w:t>(E.U. 004) Ethanol Process</w:t>
      </w:r>
    </w:p>
    <w:p w:rsidR="00691BCD" w:rsidRDefault="00020211" w:rsidP="00691BCD">
      <w:pPr>
        <w:pStyle w:val="BodyText3"/>
        <w:widowControl w:val="0"/>
        <w:numPr>
          <w:ilvl w:val="12"/>
          <w:numId w:val="0"/>
        </w:numPr>
        <w:rPr>
          <w:i/>
          <w:szCs w:val="22"/>
        </w:rPr>
      </w:pPr>
      <w:r>
        <w:rPr>
          <w:color w:val="000000" w:themeColor="text1"/>
          <w:szCs w:val="22"/>
        </w:rPr>
        <w:t xml:space="preserve">The ethanol process is shown in </w:t>
      </w:r>
      <w:r w:rsidR="000E1762" w:rsidRPr="000E1762">
        <w:rPr>
          <w:b/>
          <w:color w:val="000000" w:themeColor="text1"/>
          <w:szCs w:val="22"/>
        </w:rPr>
        <w:fldChar w:fldCharType="begin"/>
      </w:r>
      <w:r w:rsidR="000E1762" w:rsidRPr="000E1762">
        <w:rPr>
          <w:b/>
          <w:color w:val="000000" w:themeColor="text1"/>
          <w:szCs w:val="22"/>
        </w:rPr>
        <w:instrText xml:space="preserve"> REF _Ref479160045 \h </w:instrText>
      </w:r>
      <w:r w:rsidR="000E1762">
        <w:rPr>
          <w:b/>
          <w:color w:val="000000" w:themeColor="text1"/>
          <w:szCs w:val="22"/>
        </w:rPr>
        <w:instrText xml:space="preserve"> \* MERGEFORMAT </w:instrText>
      </w:r>
      <w:r w:rsidR="000E1762" w:rsidRPr="000E1762">
        <w:rPr>
          <w:b/>
          <w:color w:val="000000" w:themeColor="text1"/>
          <w:szCs w:val="22"/>
        </w:rPr>
      </w:r>
      <w:r w:rsidR="000E1762" w:rsidRPr="000E1762">
        <w:rPr>
          <w:b/>
          <w:color w:val="000000" w:themeColor="text1"/>
          <w:szCs w:val="22"/>
        </w:rPr>
        <w:fldChar w:fldCharType="separate"/>
      </w:r>
      <w:r w:rsidR="005A4C55" w:rsidRPr="005A4C55">
        <w:rPr>
          <w:rFonts w:ascii="Times New Roman Bold" w:hAnsi="Times New Roman Bold"/>
          <w:b/>
        </w:rPr>
        <w:t xml:space="preserve">Figure </w:t>
      </w:r>
      <w:r w:rsidR="005A4C55" w:rsidRPr="005A4C55">
        <w:rPr>
          <w:rFonts w:ascii="Times New Roman Bold" w:hAnsi="Times New Roman Bold"/>
          <w:b/>
          <w:noProof/>
        </w:rPr>
        <w:t>5</w:t>
      </w:r>
      <w:r w:rsidR="000E1762" w:rsidRPr="000E1762">
        <w:rPr>
          <w:b/>
          <w:color w:val="000000" w:themeColor="text1"/>
          <w:szCs w:val="22"/>
        </w:rPr>
        <w:fldChar w:fldCharType="end"/>
      </w:r>
      <w:r>
        <w:rPr>
          <w:color w:val="000000" w:themeColor="text1"/>
          <w:szCs w:val="22"/>
        </w:rPr>
        <w:t xml:space="preserve"> and consists of juice e</w:t>
      </w:r>
      <w:r w:rsidRPr="00E01EFD">
        <w:rPr>
          <w:color w:val="000000" w:themeColor="text1"/>
          <w:szCs w:val="22"/>
        </w:rPr>
        <w:t xml:space="preserve">xtraction, </w:t>
      </w:r>
      <w:r>
        <w:rPr>
          <w:color w:val="000000" w:themeColor="text1"/>
          <w:szCs w:val="22"/>
        </w:rPr>
        <w:t>e</w:t>
      </w:r>
      <w:r w:rsidRPr="00E01EFD">
        <w:rPr>
          <w:color w:val="000000" w:themeColor="text1"/>
          <w:szCs w:val="22"/>
        </w:rPr>
        <w:t xml:space="preserve">vaporation, </w:t>
      </w:r>
      <w:r>
        <w:rPr>
          <w:color w:val="000000" w:themeColor="text1"/>
          <w:szCs w:val="22"/>
        </w:rPr>
        <w:t>f</w:t>
      </w:r>
      <w:r w:rsidRPr="00E01EFD">
        <w:rPr>
          <w:color w:val="000000" w:themeColor="text1"/>
          <w:szCs w:val="22"/>
        </w:rPr>
        <w:t xml:space="preserve">ermentation, </w:t>
      </w:r>
      <w:r>
        <w:rPr>
          <w:color w:val="000000" w:themeColor="text1"/>
          <w:szCs w:val="22"/>
        </w:rPr>
        <w:t>d</w:t>
      </w:r>
      <w:r w:rsidRPr="00E01EFD">
        <w:rPr>
          <w:color w:val="000000" w:themeColor="text1"/>
          <w:szCs w:val="22"/>
        </w:rPr>
        <w:t xml:space="preserve">istillation and </w:t>
      </w:r>
      <w:r>
        <w:rPr>
          <w:color w:val="000000" w:themeColor="text1"/>
          <w:szCs w:val="22"/>
        </w:rPr>
        <w:t>d</w:t>
      </w:r>
      <w:r w:rsidRPr="00E01EFD">
        <w:rPr>
          <w:color w:val="000000" w:themeColor="text1"/>
          <w:szCs w:val="22"/>
        </w:rPr>
        <w:t>ehydration</w:t>
      </w:r>
      <w:r>
        <w:rPr>
          <w:color w:val="000000" w:themeColor="text1"/>
          <w:szCs w:val="22"/>
        </w:rPr>
        <w:t>.  The process description is paraphrased from the application.</w:t>
      </w:r>
    </w:p>
    <w:p w:rsidR="00AB2A83" w:rsidRDefault="00963859" w:rsidP="00963859">
      <w:pPr>
        <w:spacing w:before="120" w:after="120"/>
        <w:jc w:val="center"/>
      </w:pPr>
      <w:r>
        <w:rPr>
          <w:noProof/>
          <w:color w:val="000000" w:themeColor="text1"/>
          <w:sz w:val="22"/>
          <w:szCs w:val="22"/>
          <w:u w:val="single"/>
        </w:rPr>
        <mc:AlternateContent>
          <mc:Choice Requires="wpg">
            <w:drawing>
              <wp:anchor distT="0" distB="0" distL="114300" distR="114300" simplePos="0" relativeHeight="251673600" behindDoc="0" locked="0" layoutInCell="1" allowOverlap="1">
                <wp:simplePos x="0" y="0"/>
                <wp:positionH relativeFrom="column">
                  <wp:posOffset>548640</wp:posOffset>
                </wp:positionH>
                <wp:positionV relativeFrom="paragraph">
                  <wp:posOffset>220373</wp:posOffset>
                </wp:positionV>
                <wp:extent cx="5072380" cy="3388360"/>
                <wp:effectExtent l="0" t="0" r="0" b="254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72380" cy="3388360"/>
                          <a:chOff x="2314" y="5726"/>
                          <a:chExt cx="7988" cy="5336"/>
                        </a:xfrm>
                      </wpg:grpSpPr>
                      <wps:wsp>
                        <wps:cNvPr id="5" name="Text Box 13"/>
                        <wps:cNvSpPr txBox="1">
                          <a:spLocks noChangeArrowheads="1"/>
                        </wps:cNvSpPr>
                        <wps:spPr bwMode="auto">
                          <a:xfrm>
                            <a:off x="6547" y="5878"/>
                            <a:ext cx="802"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72612D" w:rsidRDefault="004E318E" w:rsidP="00020211">
                              <w:pPr>
                                <w:rPr>
                                  <w:rFonts w:ascii="Arial" w:hAnsi="Arial"/>
                                  <w:b/>
                                  <w:sz w:val="16"/>
                                </w:rPr>
                              </w:pPr>
                              <w:r w:rsidRPr="0072612D">
                                <w:rPr>
                                  <w:rFonts w:ascii="Arial" w:hAnsi="Arial"/>
                                  <w:b/>
                                  <w:sz w:val="16"/>
                                </w:rPr>
                                <w:t>004a</w:t>
                              </w:r>
                            </w:p>
                          </w:txbxContent>
                        </wps:txbx>
                        <wps:bodyPr rot="0" vert="horz" wrap="square" lIns="91440" tIns="45720" rIns="91440" bIns="45720" anchor="t" anchorCtr="0" upright="1">
                          <a:noAutofit/>
                        </wps:bodyPr>
                      </wps:wsp>
                      <wps:wsp>
                        <wps:cNvPr id="8" name="Text Box 14"/>
                        <wps:cNvSpPr txBox="1">
                          <a:spLocks noChangeArrowheads="1"/>
                        </wps:cNvSpPr>
                        <wps:spPr bwMode="auto">
                          <a:xfrm>
                            <a:off x="9636" y="5726"/>
                            <a:ext cx="666"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7168AC" w:rsidRDefault="004E318E" w:rsidP="00020211">
                              <w:pPr>
                                <w:rPr>
                                  <w:rFonts w:ascii="Arial" w:hAnsi="Arial"/>
                                  <w:b/>
                                  <w:sz w:val="16"/>
                                </w:rPr>
                              </w:pPr>
                              <w:r w:rsidRPr="007168AC">
                                <w:rPr>
                                  <w:rFonts w:ascii="Arial" w:hAnsi="Arial"/>
                                  <w:b/>
                                  <w:sz w:val="16"/>
                                </w:rPr>
                                <w:t>001</w:t>
                              </w:r>
                            </w:p>
                          </w:txbxContent>
                        </wps:txbx>
                        <wps:bodyPr rot="0" vert="horz" wrap="square" lIns="91440" tIns="45720" rIns="91440" bIns="45720" anchor="t" anchorCtr="0" upright="1">
                          <a:noAutofit/>
                        </wps:bodyPr>
                      </wps:wsp>
                      <wps:wsp>
                        <wps:cNvPr id="9" name="Text Box 15"/>
                        <wps:cNvSpPr txBox="1">
                          <a:spLocks noChangeArrowheads="1"/>
                        </wps:cNvSpPr>
                        <wps:spPr bwMode="auto">
                          <a:xfrm>
                            <a:off x="2314" y="5820"/>
                            <a:ext cx="693"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AF2E4A" w:rsidRDefault="004E318E" w:rsidP="00020211">
                              <w:pPr>
                                <w:rPr>
                                  <w:rFonts w:ascii="Arial" w:hAnsi="Arial"/>
                                  <w:b/>
                                  <w:sz w:val="16"/>
                                </w:rPr>
                              </w:pPr>
                              <w:r w:rsidRPr="00AF2E4A">
                                <w:rPr>
                                  <w:rFonts w:ascii="Arial" w:hAnsi="Arial"/>
                                  <w:b/>
                                  <w:sz w:val="16"/>
                                </w:rPr>
                                <w:t>002</w:t>
                              </w:r>
                            </w:p>
                          </w:txbxContent>
                        </wps:txbx>
                        <wps:bodyPr rot="0" vert="horz" wrap="square" lIns="91440" tIns="45720" rIns="91440" bIns="45720" anchor="t" anchorCtr="0" upright="1">
                          <a:noAutofit/>
                        </wps:bodyPr>
                      </wps:wsp>
                      <wps:wsp>
                        <wps:cNvPr id="11" name="Text Box 16"/>
                        <wps:cNvSpPr txBox="1">
                          <a:spLocks noChangeArrowheads="1"/>
                        </wps:cNvSpPr>
                        <wps:spPr bwMode="auto">
                          <a:xfrm>
                            <a:off x="6557" y="6926"/>
                            <a:ext cx="720" cy="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F42982" w:rsidRDefault="004E318E" w:rsidP="00020211">
                              <w:pPr>
                                <w:rPr>
                                  <w:rFonts w:ascii="Arial" w:hAnsi="Arial"/>
                                  <w:b/>
                                  <w:sz w:val="16"/>
                                </w:rPr>
                              </w:pPr>
                              <w:r w:rsidRPr="00F42982">
                                <w:rPr>
                                  <w:rFonts w:ascii="Arial" w:hAnsi="Arial"/>
                                  <w:b/>
                                  <w:sz w:val="16"/>
                                </w:rPr>
                                <w:t>004b</w:t>
                              </w:r>
                            </w:p>
                          </w:txbxContent>
                        </wps:txbx>
                        <wps:bodyPr rot="0" vert="horz" wrap="square" lIns="91440" tIns="45720" rIns="91440" bIns="45720" anchor="t" anchorCtr="0" upright="1">
                          <a:noAutofit/>
                        </wps:bodyPr>
                      </wps:wsp>
                      <wps:wsp>
                        <wps:cNvPr id="12" name="Text Box 17"/>
                        <wps:cNvSpPr txBox="1">
                          <a:spLocks noChangeArrowheads="1"/>
                        </wps:cNvSpPr>
                        <wps:spPr bwMode="auto">
                          <a:xfrm>
                            <a:off x="6594" y="7797"/>
                            <a:ext cx="855"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1F06BC" w:rsidRDefault="004E318E" w:rsidP="00020211">
                              <w:pPr>
                                <w:rPr>
                                  <w:rFonts w:ascii="Arial" w:hAnsi="Arial"/>
                                  <w:b/>
                                  <w:sz w:val="16"/>
                                </w:rPr>
                              </w:pPr>
                              <w:r w:rsidRPr="001F06BC">
                                <w:rPr>
                                  <w:rFonts w:ascii="Arial" w:hAnsi="Arial"/>
                                  <w:b/>
                                  <w:sz w:val="16"/>
                                </w:rPr>
                                <w:t>004c</w:t>
                              </w:r>
                            </w:p>
                          </w:txbxContent>
                        </wps:txbx>
                        <wps:bodyPr rot="0" vert="horz" wrap="square" lIns="91440" tIns="45720" rIns="91440" bIns="45720" anchor="t" anchorCtr="0" upright="1">
                          <a:noAutofit/>
                        </wps:bodyPr>
                      </wps:wsp>
                      <wps:wsp>
                        <wps:cNvPr id="13" name="Text Box 18"/>
                        <wps:cNvSpPr txBox="1">
                          <a:spLocks noChangeArrowheads="1"/>
                        </wps:cNvSpPr>
                        <wps:spPr bwMode="auto">
                          <a:xfrm>
                            <a:off x="6523" y="8704"/>
                            <a:ext cx="788"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1F06BC" w:rsidRDefault="004E318E" w:rsidP="00020211">
                              <w:pPr>
                                <w:rPr>
                                  <w:rFonts w:ascii="Arial" w:hAnsi="Arial"/>
                                  <w:b/>
                                  <w:sz w:val="16"/>
                                </w:rPr>
                              </w:pPr>
                              <w:r w:rsidRPr="001F06BC">
                                <w:rPr>
                                  <w:rFonts w:ascii="Arial" w:hAnsi="Arial"/>
                                  <w:b/>
                                  <w:sz w:val="16"/>
                                </w:rPr>
                                <w:t>004d</w:t>
                              </w:r>
                            </w:p>
                          </w:txbxContent>
                        </wps:txbx>
                        <wps:bodyPr rot="0" vert="horz" wrap="square" lIns="91440" tIns="45720" rIns="91440" bIns="45720" anchor="t" anchorCtr="0" upright="1">
                          <a:noAutofit/>
                        </wps:bodyPr>
                      </wps:wsp>
                      <wps:wsp>
                        <wps:cNvPr id="16" name="Text Box 19"/>
                        <wps:cNvSpPr txBox="1">
                          <a:spLocks noChangeArrowheads="1"/>
                        </wps:cNvSpPr>
                        <wps:spPr bwMode="auto">
                          <a:xfrm>
                            <a:off x="6573" y="9599"/>
                            <a:ext cx="826"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5E7C9C" w:rsidRDefault="004E318E" w:rsidP="00020211">
                              <w:pPr>
                                <w:rPr>
                                  <w:rFonts w:ascii="Arial" w:hAnsi="Arial"/>
                                  <w:b/>
                                  <w:sz w:val="16"/>
                                </w:rPr>
                              </w:pPr>
                              <w:r w:rsidRPr="005E7C9C">
                                <w:rPr>
                                  <w:rFonts w:ascii="Arial" w:hAnsi="Arial"/>
                                  <w:b/>
                                  <w:sz w:val="16"/>
                                </w:rPr>
                                <w:t>004</w:t>
                              </w:r>
                              <w:r>
                                <w:rPr>
                                  <w:rFonts w:ascii="Arial" w:hAnsi="Arial"/>
                                  <w:b/>
                                  <w:sz w:val="16"/>
                                </w:rPr>
                                <w:t>f</w:t>
                              </w:r>
                            </w:p>
                          </w:txbxContent>
                        </wps:txbx>
                        <wps:bodyPr rot="0" vert="horz" wrap="square" lIns="91440" tIns="45720" rIns="91440" bIns="45720" anchor="t" anchorCtr="0" upright="1">
                          <a:noAutofit/>
                        </wps:bodyPr>
                      </wps:wsp>
                      <wps:wsp>
                        <wps:cNvPr id="17" name="Text Box 20"/>
                        <wps:cNvSpPr txBox="1">
                          <a:spLocks noChangeArrowheads="1"/>
                        </wps:cNvSpPr>
                        <wps:spPr bwMode="auto">
                          <a:xfrm>
                            <a:off x="7126" y="10736"/>
                            <a:ext cx="676"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A1678F" w:rsidRDefault="004E318E" w:rsidP="00020211">
                              <w:pPr>
                                <w:rPr>
                                  <w:rFonts w:ascii="Arial" w:hAnsi="Arial"/>
                                  <w:b/>
                                  <w:sz w:val="16"/>
                                </w:rPr>
                              </w:pPr>
                              <w:r w:rsidRPr="00A1678F">
                                <w:rPr>
                                  <w:rFonts w:ascii="Arial" w:hAnsi="Arial"/>
                                  <w:b/>
                                  <w:sz w:val="16"/>
                                </w:rPr>
                                <w:t>00</w:t>
                              </w:r>
                              <w:r>
                                <w:rPr>
                                  <w:rFonts w:ascii="Arial" w:hAnsi="Arial"/>
                                  <w:b/>
                                  <w:sz w:val="16"/>
                                </w:rPr>
                                <w:t>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 o:spid="_x0000_s1037" style="position:absolute;left:0;text-align:left;margin-left:43.2pt;margin-top:17.35pt;width:399.4pt;height:266.8pt;z-index:251673600" coordorigin="2314,5726" coordsize="7988,5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">
                <v:shape id="Text Box 13" o:spid="_x0000_s1038" type="#_x0000_t202" style="position:absolute;left:6547;top:5878;width:802;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rsidR="004E318E" w:rsidRPr="0072612D" w:rsidRDefault="004E318E" w:rsidP="00020211">
                        <w:pPr>
                          <w:rPr>
                            <w:rFonts w:ascii="Arial" w:hAnsi="Arial"/>
                            <w:b/>
                            <w:sz w:val="16"/>
                          </w:rPr>
                        </w:pPr>
                        <w:r w:rsidRPr="0072612D">
                          <w:rPr>
                            <w:rFonts w:ascii="Arial" w:hAnsi="Arial"/>
                            <w:b/>
                            <w:sz w:val="16"/>
                          </w:rPr>
                          <w:t>004a</w:t>
                        </w:r>
                      </w:p>
                    </w:txbxContent>
                  </v:textbox>
                </v:shape>
                <v:shape id="Text Box 14" o:spid="_x0000_s1039" type="#_x0000_t202" style="position:absolute;left:9636;top:5726;width:666;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rsidR="004E318E" w:rsidRPr="007168AC" w:rsidRDefault="004E318E" w:rsidP="00020211">
                        <w:pPr>
                          <w:rPr>
                            <w:rFonts w:ascii="Arial" w:hAnsi="Arial"/>
                            <w:b/>
                            <w:sz w:val="16"/>
                          </w:rPr>
                        </w:pPr>
                        <w:r w:rsidRPr="007168AC">
                          <w:rPr>
                            <w:rFonts w:ascii="Arial" w:hAnsi="Arial"/>
                            <w:b/>
                            <w:sz w:val="16"/>
                          </w:rPr>
                          <w:t>001</w:t>
                        </w:r>
                      </w:p>
                    </w:txbxContent>
                  </v:textbox>
                </v:shape>
                <v:shape id="Text Box 15" o:spid="_x0000_s1040" type="#_x0000_t202" style="position:absolute;left:2314;top:5820;width:693;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rsidR="004E318E" w:rsidRPr="00AF2E4A" w:rsidRDefault="004E318E" w:rsidP="00020211">
                        <w:pPr>
                          <w:rPr>
                            <w:rFonts w:ascii="Arial" w:hAnsi="Arial"/>
                            <w:b/>
                            <w:sz w:val="16"/>
                          </w:rPr>
                        </w:pPr>
                        <w:r w:rsidRPr="00AF2E4A">
                          <w:rPr>
                            <w:rFonts w:ascii="Arial" w:hAnsi="Arial"/>
                            <w:b/>
                            <w:sz w:val="16"/>
                          </w:rPr>
                          <w:t>002</w:t>
                        </w:r>
                      </w:p>
                    </w:txbxContent>
                  </v:textbox>
                </v:shape>
                <v:shape id="Text Box 16" o:spid="_x0000_s1041" type="#_x0000_t202" style="position:absolute;left:6557;top:6926;width:72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rsidR="004E318E" w:rsidRPr="00F42982" w:rsidRDefault="004E318E" w:rsidP="00020211">
                        <w:pPr>
                          <w:rPr>
                            <w:rFonts w:ascii="Arial" w:hAnsi="Arial"/>
                            <w:b/>
                            <w:sz w:val="16"/>
                          </w:rPr>
                        </w:pPr>
                        <w:r w:rsidRPr="00F42982">
                          <w:rPr>
                            <w:rFonts w:ascii="Arial" w:hAnsi="Arial"/>
                            <w:b/>
                            <w:sz w:val="16"/>
                          </w:rPr>
                          <w:t>004b</w:t>
                        </w:r>
                      </w:p>
                    </w:txbxContent>
                  </v:textbox>
                </v:shape>
                <v:shape id="Text Box 17" o:spid="_x0000_s1042" type="#_x0000_t202" style="position:absolute;left:6594;top:7797;width:855;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rsidR="004E318E" w:rsidRPr="001F06BC" w:rsidRDefault="004E318E" w:rsidP="00020211">
                        <w:pPr>
                          <w:rPr>
                            <w:rFonts w:ascii="Arial" w:hAnsi="Arial"/>
                            <w:b/>
                            <w:sz w:val="16"/>
                          </w:rPr>
                        </w:pPr>
                        <w:r w:rsidRPr="001F06BC">
                          <w:rPr>
                            <w:rFonts w:ascii="Arial" w:hAnsi="Arial"/>
                            <w:b/>
                            <w:sz w:val="16"/>
                          </w:rPr>
                          <w:t>004c</w:t>
                        </w:r>
                      </w:p>
                    </w:txbxContent>
                  </v:textbox>
                </v:shape>
                <v:shape id="_x0000_s1043" type="#_x0000_t202" style="position:absolute;left:6523;top:8704;width:788;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rsidR="004E318E" w:rsidRPr="001F06BC" w:rsidRDefault="004E318E" w:rsidP="00020211">
                        <w:pPr>
                          <w:rPr>
                            <w:rFonts w:ascii="Arial" w:hAnsi="Arial"/>
                            <w:b/>
                            <w:sz w:val="16"/>
                          </w:rPr>
                        </w:pPr>
                        <w:r w:rsidRPr="001F06BC">
                          <w:rPr>
                            <w:rFonts w:ascii="Arial" w:hAnsi="Arial"/>
                            <w:b/>
                            <w:sz w:val="16"/>
                          </w:rPr>
                          <w:t>004d</w:t>
                        </w:r>
                      </w:p>
                    </w:txbxContent>
                  </v:textbox>
                </v:shape>
                <v:shape id="_x0000_s1044" type="#_x0000_t202" style="position:absolute;left:6573;top:9599;width:826;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rsidR="004E318E" w:rsidRPr="005E7C9C" w:rsidRDefault="004E318E" w:rsidP="00020211">
                        <w:pPr>
                          <w:rPr>
                            <w:rFonts w:ascii="Arial" w:hAnsi="Arial"/>
                            <w:b/>
                            <w:sz w:val="16"/>
                          </w:rPr>
                        </w:pPr>
                        <w:r w:rsidRPr="005E7C9C">
                          <w:rPr>
                            <w:rFonts w:ascii="Arial" w:hAnsi="Arial"/>
                            <w:b/>
                            <w:sz w:val="16"/>
                          </w:rPr>
                          <w:t>004</w:t>
                        </w:r>
                        <w:r>
                          <w:rPr>
                            <w:rFonts w:ascii="Arial" w:hAnsi="Arial"/>
                            <w:b/>
                            <w:sz w:val="16"/>
                          </w:rPr>
                          <w:t>f</w:t>
                        </w:r>
                      </w:p>
                    </w:txbxContent>
                  </v:textbox>
                </v:shape>
                <v:shape id="_x0000_s1045" type="#_x0000_t202" style="position:absolute;left:7126;top:10736;width:676;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rsidR="004E318E" w:rsidRPr="00A1678F" w:rsidRDefault="004E318E" w:rsidP="00020211">
                        <w:pPr>
                          <w:rPr>
                            <w:rFonts w:ascii="Arial" w:hAnsi="Arial"/>
                            <w:b/>
                            <w:sz w:val="16"/>
                          </w:rPr>
                        </w:pPr>
                        <w:r w:rsidRPr="00A1678F">
                          <w:rPr>
                            <w:rFonts w:ascii="Arial" w:hAnsi="Arial"/>
                            <w:b/>
                            <w:sz w:val="16"/>
                          </w:rPr>
                          <w:t>00</w:t>
                        </w:r>
                        <w:r>
                          <w:rPr>
                            <w:rFonts w:ascii="Arial" w:hAnsi="Arial"/>
                            <w:b/>
                            <w:sz w:val="16"/>
                          </w:rPr>
                          <w:t>5</w:t>
                        </w:r>
                      </w:p>
                    </w:txbxContent>
                  </v:textbox>
                </v:shape>
              </v:group>
            </w:pict>
          </mc:Fallback>
        </mc:AlternateContent>
      </w:r>
      <w:r>
        <w:rPr>
          <w:noProof/>
          <w:szCs w:val="22"/>
        </w:rPr>
        <mc:AlternateContent>
          <mc:Choice Requires="wps">
            <w:drawing>
              <wp:anchor distT="0" distB="0" distL="114300" distR="114300" simplePos="0" relativeHeight="251674624" behindDoc="0" locked="0" layoutInCell="1" allowOverlap="1">
                <wp:simplePos x="0" y="0"/>
                <wp:positionH relativeFrom="column">
                  <wp:posOffset>4347182</wp:posOffset>
                </wp:positionH>
                <wp:positionV relativeFrom="paragraph">
                  <wp:posOffset>2039427</wp:posOffset>
                </wp:positionV>
                <wp:extent cx="582295" cy="208280"/>
                <wp:effectExtent l="1270" t="0" r="0" b="254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95"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318E" w:rsidRPr="001F06BC" w:rsidRDefault="004E318E" w:rsidP="00020211">
                            <w:pPr>
                              <w:rPr>
                                <w:rFonts w:ascii="Arial" w:hAnsi="Arial"/>
                                <w:b/>
                                <w:sz w:val="16"/>
                              </w:rPr>
                            </w:pPr>
                            <w:r>
                              <w:rPr>
                                <w:rFonts w:ascii="Arial" w:hAnsi="Arial"/>
                                <w:b/>
                                <w:sz w:val="16"/>
                              </w:rPr>
                              <w:t>004e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 o:spid="_x0000_s1046" type="#_x0000_t202" style="position:absolute;left:0;text-align:left;margin-left:342.3pt;margin-top:160.6pt;width:45.85pt;height:16.4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" filled="f" stroked="f">
                <v:textbox style="mso-fit-shape-to-text:t">
                  <w:txbxContent>
                    <w:p w:rsidR="004E318E" w:rsidRPr="001F06BC" w:rsidRDefault="004E318E" w:rsidP="00020211">
                      <w:pPr>
                        <w:rPr>
                          <w:rFonts w:ascii="Arial" w:hAnsi="Arial"/>
                          <w:b/>
                          <w:sz w:val="16"/>
                        </w:rPr>
                      </w:pPr>
                      <w:r>
                        <w:rPr>
                          <w:rFonts w:ascii="Arial" w:hAnsi="Arial"/>
                          <w:b/>
                          <w:sz w:val="16"/>
                        </w:rPr>
                        <w:t>004e</w:t>
                      </w:r>
                    </w:p>
                  </w:txbxContent>
                </v:textbox>
              </v:shape>
            </w:pict>
          </mc:Fallback>
        </mc:AlternateContent>
      </w:r>
      <w:r w:rsidR="00020211">
        <w:rPr>
          <w:noProof/>
          <w:color w:val="000000" w:themeColor="text1"/>
          <w:sz w:val="22"/>
          <w:szCs w:val="22"/>
        </w:rPr>
        <w:drawing>
          <wp:inline distT="0" distB="0" distL="0" distR="0" wp14:anchorId="427599AB" wp14:editId="349503DF">
            <wp:extent cx="5661329" cy="3743181"/>
            <wp:effectExtent l="38100" t="38100" r="34925" b="29210"/>
            <wp:docPr id="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srcRect/>
                    <a:stretch>
                      <a:fillRect/>
                    </a:stretch>
                  </pic:blipFill>
                  <pic:spPr bwMode="auto">
                    <a:xfrm>
                      <a:off x="0" y="0"/>
                      <a:ext cx="5670223" cy="3749062"/>
                    </a:xfrm>
                    <a:prstGeom prst="rect">
                      <a:avLst/>
                    </a:prstGeom>
                    <a:ln w="38100" cap="sq" cmpd="thickThin">
                      <a:solidFill>
                        <a:srgbClr val="000000"/>
                      </a:solidFill>
                      <a:prstDash val="solid"/>
                      <a:miter lim="800000"/>
                    </a:ln>
                    <a:effectLst>
                      <a:innerShdw blurRad="76200">
                        <a:srgbClr val="000000"/>
                      </a:innerShdw>
                    </a:effectLst>
                  </pic:spPr>
                </pic:pic>
              </a:graphicData>
            </a:graphic>
          </wp:inline>
        </w:drawing>
      </w:r>
    </w:p>
    <w:p w:rsidR="00020211" w:rsidRPr="00AB2A83" w:rsidRDefault="00AB2A83" w:rsidP="0037519B">
      <w:pPr>
        <w:pStyle w:val="Caption"/>
        <w:spacing w:before="120"/>
        <w:jc w:val="center"/>
        <w:rPr>
          <w:rFonts w:ascii="Times New Roman Bold" w:hAnsi="Times New Roman Bold"/>
          <w:caps w:val="0"/>
          <w:color w:val="000000" w:themeColor="text1"/>
          <w:szCs w:val="22"/>
        </w:rPr>
      </w:pPr>
      <w:bookmarkStart w:id="7" w:name="_Ref479160045"/>
      <w:r w:rsidRPr="00AB2A83">
        <w:rPr>
          <w:rFonts w:ascii="Times New Roman Bold" w:hAnsi="Times New Roman Bold"/>
          <w:caps w:val="0"/>
        </w:rPr>
        <w:t xml:space="preserve">Figure </w:t>
      </w:r>
      <w:r w:rsidRPr="00AB2A83">
        <w:rPr>
          <w:rFonts w:ascii="Times New Roman Bold" w:hAnsi="Times New Roman Bold"/>
          <w:caps w:val="0"/>
        </w:rPr>
        <w:fldChar w:fldCharType="begin"/>
      </w:r>
      <w:r w:rsidRPr="00AB2A83">
        <w:rPr>
          <w:rFonts w:ascii="Times New Roman Bold" w:hAnsi="Times New Roman Bold"/>
          <w:caps w:val="0"/>
        </w:rPr>
        <w:instrText xml:space="preserve"> SEQ Figure \* ARABIC </w:instrText>
      </w:r>
      <w:r w:rsidRPr="00AB2A83">
        <w:rPr>
          <w:rFonts w:ascii="Times New Roman Bold" w:hAnsi="Times New Roman Bold"/>
          <w:caps w:val="0"/>
        </w:rPr>
        <w:fldChar w:fldCharType="separate"/>
      </w:r>
      <w:r w:rsidR="005A4C55">
        <w:rPr>
          <w:rFonts w:ascii="Times New Roman Bold" w:hAnsi="Times New Roman Bold"/>
          <w:caps w:val="0"/>
          <w:noProof/>
        </w:rPr>
        <w:t>5</w:t>
      </w:r>
      <w:r w:rsidRPr="00AB2A83">
        <w:rPr>
          <w:rFonts w:ascii="Times New Roman Bold" w:hAnsi="Times New Roman Bold"/>
          <w:caps w:val="0"/>
        </w:rPr>
        <w:fldChar w:fldCharType="end"/>
      </w:r>
      <w:bookmarkEnd w:id="7"/>
      <w:r w:rsidRPr="00AB2A83">
        <w:rPr>
          <w:rFonts w:ascii="Times New Roman Bold" w:hAnsi="Times New Roman Bold"/>
          <w:caps w:val="0"/>
        </w:rPr>
        <w:t xml:space="preserve">.  Simplified </w:t>
      </w:r>
      <w:r>
        <w:rPr>
          <w:rFonts w:ascii="Times New Roman Bold" w:hAnsi="Times New Roman Bold"/>
          <w:caps w:val="0"/>
        </w:rPr>
        <w:t>d</w:t>
      </w:r>
      <w:r w:rsidRPr="00AB2A83">
        <w:rPr>
          <w:rFonts w:ascii="Times New Roman Bold" w:hAnsi="Times New Roman Bold"/>
          <w:caps w:val="0"/>
        </w:rPr>
        <w:t xml:space="preserve">iagram of the HEF </w:t>
      </w:r>
      <w:r>
        <w:rPr>
          <w:rFonts w:ascii="Times New Roman Bold" w:hAnsi="Times New Roman Bold"/>
          <w:caps w:val="0"/>
        </w:rPr>
        <w:t>s</w:t>
      </w:r>
      <w:r w:rsidRPr="00AB2A83">
        <w:rPr>
          <w:rFonts w:ascii="Times New Roman Bold" w:hAnsi="Times New Roman Bold"/>
          <w:caps w:val="0"/>
        </w:rPr>
        <w:t>ugarcane</w:t>
      </w:r>
      <w:r>
        <w:rPr>
          <w:rFonts w:ascii="Times New Roman Bold" w:hAnsi="Times New Roman Bold"/>
          <w:caps w:val="0"/>
        </w:rPr>
        <w:t>-</w:t>
      </w:r>
      <w:r w:rsidRPr="00AB2A83">
        <w:rPr>
          <w:rFonts w:ascii="Times New Roman Bold" w:hAnsi="Times New Roman Bold"/>
          <w:caps w:val="0"/>
        </w:rPr>
        <w:t xml:space="preserve"> and </w:t>
      </w:r>
      <w:r>
        <w:rPr>
          <w:rFonts w:ascii="Times New Roman Bold" w:hAnsi="Times New Roman Bold"/>
          <w:caps w:val="0"/>
        </w:rPr>
        <w:t>s</w:t>
      </w:r>
      <w:r w:rsidRPr="00AB2A83">
        <w:rPr>
          <w:rFonts w:ascii="Times New Roman Bold" w:hAnsi="Times New Roman Bold"/>
          <w:caps w:val="0"/>
        </w:rPr>
        <w:t>orghum</w:t>
      </w:r>
      <w:r>
        <w:rPr>
          <w:rFonts w:ascii="Times New Roman Bold" w:hAnsi="Times New Roman Bold"/>
          <w:caps w:val="0"/>
        </w:rPr>
        <w:t>-to-e</w:t>
      </w:r>
      <w:r w:rsidRPr="00AB2A83">
        <w:rPr>
          <w:rFonts w:ascii="Times New Roman Bold" w:hAnsi="Times New Roman Bold"/>
          <w:caps w:val="0"/>
        </w:rPr>
        <w:t xml:space="preserve">thanol </w:t>
      </w:r>
      <w:r>
        <w:rPr>
          <w:rFonts w:ascii="Times New Roman Bold" w:hAnsi="Times New Roman Bold"/>
          <w:caps w:val="0"/>
        </w:rPr>
        <w:t>p</w:t>
      </w:r>
      <w:r w:rsidRPr="00AB2A83">
        <w:rPr>
          <w:rFonts w:ascii="Times New Roman Bold" w:hAnsi="Times New Roman Bold"/>
          <w:caps w:val="0"/>
        </w:rPr>
        <w:t xml:space="preserve">roduction </w:t>
      </w:r>
      <w:r>
        <w:rPr>
          <w:rFonts w:ascii="Times New Roman Bold" w:hAnsi="Times New Roman Bold"/>
          <w:caps w:val="0"/>
        </w:rPr>
        <w:t>p</w:t>
      </w:r>
      <w:r w:rsidRPr="00AB2A83">
        <w:rPr>
          <w:rFonts w:ascii="Times New Roman Bold" w:hAnsi="Times New Roman Bold"/>
          <w:caps w:val="0"/>
        </w:rPr>
        <w:t>rocess.</w:t>
      </w:r>
    </w:p>
    <w:p w:rsidR="00963859" w:rsidRDefault="00963859" w:rsidP="00963859">
      <w:pPr>
        <w:pStyle w:val="BodyText3"/>
        <w:widowControl w:val="0"/>
        <w:numPr>
          <w:ilvl w:val="12"/>
          <w:numId w:val="0"/>
        </w:numPr>
        <w:rPr>
          <w:szCs w:val="22"/>
        </w:rPr>
      </w:pPr>
      <w:r w:rsidRPr="00AE4DB2">
        <w:rPr>
          <w:i/>
          <w:szCs w:val="22"/>
        </w:rPr>
        <w:lastRenderedPageBreak/>
        <w:t>Juice Evaporation</w:t>
      </w:r>
      <w:r>
        <w:rPr>
          <w:i/>
          <w:szCs w:val="22"/>
        </w:rPr>
        <w:t xml:space="preserve"> (004a)</w:t>
      </w:r>
      <w:r>
        <w:rPr>
          <w:szCs w:val="22"/>
        </w:rPr>
        <w:t xml:space="preserve">.  </w:t>
      </w:r>
      <w:r w:rsidRPr="00175EA5">
        <w:rPr>
          <w:szCs w:val="22"/>
        </w:rPr>
        <w:t xml:space="preserve">The evaporation process concentrates the sucrose juices extracted in the diffuser. </w:t>
      </w:r>
      <w:r>
        <w:rPr>
          <w:szCs w:val="22"/>
        </w:rPr>
        <w:t xml:space="preserve"> </w:t>
      </w:r>
      <w:r w:rsidRPr="00175EA5">
        <w:rPr>
          <w:szCs w:val="22"/>
        </w:rPr>
        <w:t>The extracted juice is</w:t>
      </w:r>
      <w:r>
        <w:rPr>
          <w:szCs w:val="22"/>
        </w:rPr>
        <w:t xml:space="preserve"> </w:t>
      </w:r>
      <w:r w:rsidRPr="00175EA5">
        <w:rPr>
          <w:szCs w:val="22"/>
        </w:rPr>
        <w:t>pumped from the juice storage tank to a five-effect multiple-effect evaporator, where the juice is</w:t>
      </w:r>
      <w:r>
        <w:rPr>
          <w:szCs w:val="22"/>
        </w:rPr>
        <w:t xml:space="preserve"> </w:t>
      </w:r>
      <w:r w:rsidRPr="00175EA5">
        <w:rPr>
          <w:szCs w:val="22"/>
        </w:rPr>
        <w:t>concentrated from 14</w:t>
      </w:r>
      <w:r>
        <w:rPr>
          <w:szCs w:val="22"/>
        </w:rPr>
        <w:t>%</w:t>
      </w:r>
      <w:r w:rsidRPr="00175EA5">
        <w:rPr>
          <w:szCs w:val="22"/>
        </w:rPr>
        <w:t xml:space="preserve"> to 22</w:t>
      </w:r>
      <w:r>
        <w:rPr>
          <w:szCs w:val="22"/>
        </w:rPr>
        <w:t>%</w:t>
      </w:r>
      <w:r w:rsidRPr="00175EA5">
        <w:rPr>
          <w:szCs w:val="22"/>
        </w:rPr>
        <w:t xml:space="preserve"> total solids. </w:t>
      </w:r>
      <w:r>
        <w:rPr>
          <w:szCs w:val="22"/>
        </w:rPr>
        <w:t xml:space="preserve"> </w:t>
      </w:r>
      <w:r w:rsidRPr="00175EA5">
        <w:rPr>
          <w:szCs w:val="22"/>
        </w:rPr>
        <w:t>The concentrated juice is stored in the</w:t>
      </w:r>
      <w:r>
        <w:rPr>
          <w:szCs w:val="22"/>
        </w:rPr>
        <w:t xml:space="preserve"> </w:t>
      </w:r>
      <w:r w:rsidRPr="00175EA5">
        <w:rPr>
          <w:szCs w:val="22"/>
        </w:rPr>
        <w:t xml:space="preserve">concentrated juice storage tank. </w:t>
      </w:r>
      <w:r>
        <w:rPr>
          <w:szCs w:val="22"/>
        </w:rPr>
        <w:t xml:space="preserve"> </w:t>
      </w:r>
      <w:r w:rsidRPr="00175EA5">
        <w:rPr>
          <w:szCs w:val="22"/>
        </w:rPr>
        <w:t>The steam condensate is recovered and returned to the boiler feed</w:t>
      </w:r>
      <w:r>
        <w:rPr>
          <w:szCs w:val="22"/>
        </w:rPr>
        <w:t xml:space="preserve"> </w:t>
      </w:r>
      <w:r w:rsidRPr="00175EA5">
        <w:rPr>
          <w:szCs w:val="22"/>
        </w:rPr>
        <w:t xml:space="preserve">water system. </w:t>
      </w:r>
      <w:r>
        <w:rPr>
          <w:szCs w:val="22"/>
        </w:rPr>
        <w:t xml:space="preserve"> </w:t>
      </w:r>
      <w:r w:rsidRPr="00175EA5">
        <w:rPr>
          <w:szCs w:val="22"/>
        </w:rPr>
        <w:t>The condensed vapor condensate is collected and is then pumped to the diffuser as</w:t>
      </w:r>
      <w:r>
        <w:rPr>
          <w:szCs w:val="22"/>
        </w:rPr>
        <w:t xml:space="preserve"> </w:t>
      </w:r>
      <w:r w:rsidRPr="00175EA5">
        <w:rPr>
          <w:szCs w:val="22"/>
        </w:rPr>
        <w:t>imbibition water for juice extraction.</w:t>
      </w:r>
    </w:p>
    <w:p w:rsidR="00963859" w:rsidRDefault="00963859" w:rsidP="00963859">
      <w:pPr>
        <w:pStyle w:val="BodyText3"/>
        <w:widowControl w:val="0"/>
        <w:numPr>
          <w:ilvl w:val="12"/>
          <w:numId w:val="0"/>
        </w:numPr>
        <w:rPr>
          <w:i/>
          <w:szCs w:val="22"/>
        </w:rPr>
      </w:pPr>
      <w:r w:rsidRPr="00864676">
        <w:rPr>
          <w:i/>
          <w:szCs w:val="22"/>
        </w:rPr>
        <w:t>Pre-fermentation (004b)</w:t>
      </w:r>
      <w:r w:rsidRPr="00864676">
        <w:rPr>
          <w:szCs w:val="22"/>
        </w:rPr>
        <w:t xml:space="preserve">.  Concentrated juice from the concentrated juice storage tank is first cooled using the beer feed to distillation followed by a trim heater using cooling water.  The cooled, concentrated juice along with the yeast and urea (added as a nutrient) are fed to an agitated pre-fermenter.  The pre-fermenter serves as a yeast propagator and initially acclimates the yeast to the fermentation conditions.  Sulfuric acid is used to adjust the </w:t>
      </w:r>
      <w:proofErr w:type="spellStart"/>
      <w:r w:rsidRPr="00864676">
        <w:rPr>
          <w:szCs w:val="22"/>
        </w:rPr>
        <w:t>pH.</w:t>
      </w:r>
      <w:proofErr w:type="spellEnd"/>
      <w:r w:rsidRPr="00864676">
        <w:rPr>
          <w:szCs w:val="22"/>
        </w:rPr>
        <w:t xml:space="preserve">  The pre-fermenter continuously recirculates the ferment through a heat exchanger to keep the temperature in the optimum range for fermentation.</w:t>
      </w:r>
    </w:p>
    <w:p w:rsidR="00963859" w:rsidRDefault="00963859" w:rsidP="00963859">
      <w:pPr>
        <w:pStyle w:val="BodyText3"/>
        <w:widowControl w:val="0"/>
        <w:numPr>
          <w:ilvl w:val="12"/>
          <w:numId w:val="0"/>
        </w:numPr>
        <w:rPr>
          <w:szCs w:val="22"/>
        </w:rPr>
      </w:pPr>
      <w:r w:rsidRPr="00864676">
        <w:rPr>
          <w:i/>
          <w:szCs w:val="22"/>
        </w:rPr>
        <w:t>Fermentation (004c)</w:t>
      </w:r>
      <w:r w:rsidRPr="00864676">
        <w:rPr>
          <w:szCs w:val="22"/>
        </w:rPr>
        <w:t>.  During fermentation, sugars contained in the concentrated juice are transformed to ethyl alcohol, carbon dioxide (CO</w:t>
      </w:r>
      <w:r w:rsidRPr="00864676">
        <w:rPr>
          <w:szCs w:val="22"/>
          <w:vertAlign w:val="subscript"/>
        </w:rPr>
        <w:t>2</w:t>
      </w:r>
      <w:r w:rsidRPr="00864676">
        <w:rPr>
          <w:szCs w:val="22"/>
        </w:rPr>
        <w:t xml:space="preserve">) and various secondary products.  Secondary products include other alcohols, aldehydes, glycerin, etc.  There </w:t>
      </w:r>
      <w:proofErr w:type="gramStart"/>
      <w:r w:rsidRPr="00864676">
        <w:rPr>
          <w:szCs w:val="22"/>
        </w:rPr>
        <w:t>are</w:t>
      </w:r>
      <w:proofErr w:type="gramEnd"/>
      <w:r w:rsidRPr="00864676">
        <w:rPr>
          <w:szCs w:val="22"/>
        </w:rPr>
        <w:t xml:space="preserve"> a total of four agitated fermenters in series, each having controlled temperature and controlled</w:t>
      </w:r>
      <w:r>
        <w:rPr>
          <w:szCs w:val="22"/>
        </w:rPr>
        <w:t xml:space="preserve"> </w:t>
      </w:r>
      <w:r w:rsidRPr="00864676">
        <w:rPr>
          <w:szCs w:val="22"/>
        </w:rPr>
        <w:t xml:space="preserve">additions of urea and yeast to maintain optimum fermentation conditions. </w:t>
      </w:r>
      <w:r>
        <w:rPr>
          <w:szCs w:val="22"/>
        </w:rPr>
        <w:t xml:space="preserve"> </w:t>
      </w:r>
      <w:r w:rsidRPr="00864676">
        <w:rPr>
          <w:szCs w:val="22"/>
        </w:rPr>
        <w:t>The ferment is continuously transferred from the pre-fermenter to the first fermenter based on level.</w:t>
      </w:r>
      <w:r>
        <w:rPr>
          <w:szCs w:val="22"/>
        </w:rPr>
        <w:t xml:space="preserve">  </w:t>
      </w:r>
      <w:r w:rsidRPr="00864676">
        <w:rPr>
          <w:szCs w:val="22"/>
        </w:rPr>
        <w:t>Flow is maintained from one</w:t>
      </w:r>
      <w:r>
        <w:rPr>
          <w:szCs w:val="22"/>
        </w:rPr>
        <w:t xml:space="preserve"> </w:t>
      </w:r>
      <w:r w:rsidRPr="00864676">
        <w:rPr>
          <w:szCs w:val="22"/>
        </w:rPr>
        <w:t>fermenter to another based on level.</w:t>
      </w:r>
    </w:p>
    <w:p w:rsidR="00020211" w:rsidRDefault="00020211" w:rsidP="00020211">
      <w:pPr>
        <w:pStyle w:val="BodyText3"/>
        <w:widowControl w:val="0"/>
        <w:numPr>
          <w:ilvl w:val="12"/>
          <w:numId w:val="0"/>
        </w:numPr>
        <w:rPr>
          <w:szCs w:val="22"/>
        </w:rPr>
      </w:pPr>
      <w:r w:rsidRPr="007A13D8">
        <w:rPr>
          <w:szCs w:val="22"/>
        </w:rPr>
        <w:t xml:space="preserve">The product of fermentation, called “beer,” </w:t>
      </w:r>
      <w:r>
        <w:rPr>
          <w:szCs w:val="22"/>
        </w:rPr>
        <w:t>i</w:t>
      </w:r>
      <w:r w:rsidRPr="007A13D8">
        <w:rPr>
          <w:szCs w:val="22"/>
        </w:rPr>
        <w:t xml:space="preserve">s a weak ethanol </w:t>
      </w:r>
      <w:r>
        <w:rPr>
          <w:szCs w:val="22"/>
        </w:rPr>
        <w:t xml:space="preserve">solution and contains </w:t>
      </w:r>
      <w:r w:rsidRPr="007A13D8">
        <w:rPr>
          <w:szCs w:val="22"/>
        </w:rPr>
        <w:t>the residue of</w:t>
      </w:r>
      <w:r>
        <w:rPr>
          <w:szCs w:val="22"/>
        </w:rPr>
        <w:t xml:space="preserve"> </w:t>
      </w:r>
      <w:r w:rsidRPr="007A13D8">
        <w:rPr>
          <w:szCs w:val="22"/>
        </w:rPr>
        <w:t xml:space="preserve">fermentation components. </w:t>
      </w:r>
      <w:r>
        <w:rPr>
          <w:szCs w:val="22"/>
        </w:rPr>
        <w:t xml:space="preserve"> </w:t>
      </w:r>
      <w:r w:rsidRPr="007A13D8">
        <w:rPr>
          <w:szCs w:val="22"/>
        </w:rPr>
        <w:t>The beer is pumped to a holding tank, designated as the beer well.</w:t>
      </w:r>
      <w:r>
        <w:rPr>
          <w:szCs w:val="22"/>
        </w:rPr>
        <w:t xml:space="preserve">  </w:t>
      </w:r>
      <w:r w:rsidRPr="00864676">
        <w:rPr>
          <w:szCs w:val="22"/>
        </w:rPr>
        <w:t>The alcohol concentration in the clean beer is generally 8</w:t>
      </w:r>
      <w:r>
        <w:rPr>
          <w:szCs w:val="22"/>
        </w:rPr>
        <w:t>%</w:t>
      </w:r>
      <w:r w:rsidRPr="00864676">
        <w:rPr>
          <w:szCs w:val="22"/>
        </w:rPr>
        <w:t>.</w:t>
      </w:r>
      <w:r>
        <w:rPr>
          <w:szCs w:val="22"/>
        </w:rPr>
        <w:t xml:space="preserve">  </w:t>
      </w:r>
      <w:r w:rsidRPr="00E21ECE">
        <w:rPr>
          <w:szCs w:val="22"/>
        </w:rPr>
        <w:t>Solid substances include yeast, bacteria, non-fermentable solids, mineral salts,</w:t>
      </w:r>
      <w:r>
        <w:rPr>
          <w:szCs w:val="22"/>
        </w:rPr>
        <w:t xml:space="preserve"> </w:t>
      </w:r>
      <w:r w:rsidRPr="00E21ECE">
        <w:rPr>
          <w:szCs w:val="22"/>
        </w:rPr>
        <w:t>albuminoidal substances and other miscellaneous substances.</w:t>
      </w:r>
      <w:r>
        <w:rPr>
          <w:szCs w:val="22"/>
        </w:rPr>
        <w:t xml:space="preserve"> </w:t>
      </w:r>
      <w:r w:rsidRPr="00E21ECE">
        <w:rPr>
          <w:szCs w:val="22"/>
        </w:rPr>
        <w:t xml:space="preserve"> Dissolved gases include CO</w:t>
      </w:r>
      <w:r w:rsidRPr="00E21ECE">
        <w:rPr>
          <w:szCs w:val="22"/>
          <w:vertAlign w:val="subscript"/>
        </w:rPr>
        <w:t>2</w:t>
      </w:r>
      <w:r w:rsidRPr="00E21ECE">
        <w:rPr>
          <w:szCs w:val="22"/>
        </w:rPr>
        <w:t xml:space="preserve"> and SO</w:t>
      </w:r>
      <w:r w:rsidRPr="00E21ECE">
        <w:rPr>
          <w:szCs w:val="22"/>
          <w:vertAlign w:val="subscript"/>
        </w:rPr>
        <w:t>2</w:t>
      </w:r>
      <w:r w:rsidRPr="00E21ECE">
        <w:rPr>
          <w:szCs w:val="22"/>
        </w:rPr>
        <w:t>.</w:t>
      </w:r>
    </w:p>
    <w:p w:rsidR="00020211" w:rsidRDefault="00020211" w:rsidP="00020211">
      <w:pPr>
        <w:pStyle w:val="BodyText3"/>
        <w:widowControl w:val="0"/>
        <w:numPr>
          <w:ilvl w:val="12"/>
          <w:numId w:val="0"/>
        </w:numPr>
        <w:rPr>
          <w:szCs w:val="22"/>
        </w:rPr>
      </w:pPr>
      <w:r w:rsidRPr="00D56F4C">
        <w:rPr>
          <w:szCs w:val="22"/>
        </w:rPr>
        <w:t>The off-gases from the fermentation vessels are collected and sent to a packed scrubbing column, called</w:t>
      </w:r>
      <w:r>
        <w:rPr>
          <w:szCs w:val="22"/>
        </w:rPr>
        <w:t xml:space="preserve"> </w:t>
      </w:r>
      <w:r w:rsidRPr="00D56F4C">
        <w:rPr>
          <w:szCs w:val="22"/>
        </w:rPr>
        <w:t xml:space="preserve">the </w:t>
      </w:r>
      <w:r w:rsidRPr="00864676">
        <w:rPr>
          <w:szCs w:val="22"/>
        </w:rPr>
        <w:t>CO</w:t>
      </w:r>
      <w:r w:rsidRPr="00864676">
        <w:rPr>
          <w:szCs w:val="22"/>
          <w:vertAlign w:val="subscript"/>
        </w:rPr>
        <w:t>2</w:t>
      </w:r>
      <w:r w:rsidRPr="00D56F4C">
        <w:rPr>
          <w:szCs w:val="22"/>
        </w:rPr>
        <w:t xml:space="preserve"> scrubber. </w:t>
      </w:r>
      <w:r>
        <w:rPr>
          <w:szCs w:val="22"/>
        </w:rPr>
        <w:t xml:space="preserve"> </w:t>
      </w:r>
      <w:r w:rsidRPr="00D56F4C">
        <w:rPr>
          <w:szCs w:val="22"/>
        </w:rPr>
        <w:t xml:space="preserve">The </w:t>
      </w:r>
      <w:r w:rsidRPr="00864676">
        <w:rPr>
          <w:szCs w:val="22"/>
        </w:rPr>
        <w:t>CO</w:t>
      </w:r>
      <w:r w:rsidRPr="00864676">
        <w:rPr>
          <w:szCs w:val="22"/>
          <w:vertAlign w:val="subscript"/>
        </w:rPr>
        <w:t>2</w:t>
      </w:r>
      <w:r w:rsidRPr="00D56F4C">
        <w:rPr>
          <w:szCs w:val="22"/>
        </w:rPr>
        <w:t xml:space="preserve"> scrubber uses water, fortified with sodium bisulfite</w:t>
      </w:r>
      <w:r w:rsidRPr="00E608D6">
        <w:rPr>
          <w:sz w:val="20"/>
        </w:rPr>
        <w:t xml:space="preserve"> </w:t>
      </w:r>
      <w:r>
        <w:rPr>
          <w:sz w:val="20"/>
        </w:rPr>
        <w:t>(</w:t>
      </w:r>
      <w:r w:rsidRPr="00E608D6">
        <w:rPr>
          <w:szCs w:val="22"/>
        </w:rPr>
        <w:t>Na</w:t>
      </w:r>
      <w:r>
        <w:rPr>
          <w:szCs w:val="22"/>
        </w:rPr>
        <w:t>H</w:t>
      </w:r>
      <w:r w:rsidRPr="00E608D6">
        <w:rPr>
          <w:szCs w:val="22"/>
        </w:rPr>
        <w:t>SO</w:t>
      </w:r>
      <w:r w:rsidRPr="00E608D6">
        <w:rPr>
          <w:szCs w:val="22"/>
          <w:vertAlign w:val="subscript"/>
        </w:rPr>
        <w:t>3</w:t>
      </w:r>
      <w:r>
        <w:rPr>
          <w:szCs w:val="22"/>
        </w:rPr>
        <w:t>),</w:t>
      </w:r>
      <w:r w:rsidRPr="00D56F4C">
        <w:rPr>
          <w:szCs w:val="22"/>
        </w:rPr>
        <w:t xml:space="preserve"> to remove water soluble</w:t>
      </w:r>
      <w:r>
        <w:rPr>
          <w:szCs w:val="22"/>
        </w:rPr>
        <w:t xml:space="preserve"> </w:t>
      </w:r>
      <w:r w:rsidRPr="00D56F4C">
        <w:rPr>
          <w:szCs w:val="22"/>
        </w:rPr>
        <w:t xml:space="preserve">components, such as ethanol, and to chemically remove acetaldehyde. </w:t>
      </w:r>
      <w:r>
        <w:rPr>
          <w:szCs w:val="22"/>
        </w:rPr>
        <w:t xml:space="preserve"> </w:t>
      </w:r>
      <w:r w:rsidRPr="00D56F4C">
        <w:rPr>
          <w:szCs w:val="22"/>
        </w:rPr>
        <w:t>The off-gases, which are</w:t>
      </w:r>
      <w:r>
        <w:rPr>
          <w:szCs w:val="22"/>
        </w:rPr>
        <w:t xml:space="preserve"> </w:t>
      </w:r>
      <w:r w:rsidRPr="00D56F4C">
        <w:rPr>
          <w:szCs w:val="22"/>
        </w:rPr>
        <w:t xml:space="preserve">composed primarily of </w:t>
      </w:r>
      <w:r w:rsidRPr="00864676">
        <w:rPr>
          <w:szCs w:val="22"/>
        </w:rPr>
        <w:t>CO</w:t>
      </w:r>
      <w:r w:rsidRPr="00864676">
        <w:rPr>
          <w:szCs w:val="22"/>
          <w:vertAlign w:val="subscript"/>
        </w:rPr>
        <w:t>2</w:t>
      </w:r>
      <w:r w:rsidRPr="00D56F4C">
        <w:rPr>
          <w:szCs w:val="22"/>
        </w:rPr>
        <w:t xml:space="preserve"> with minor traces of ethanol and other organic compounds, are released to</w:t>
      </w:r>
      <w:r>
        <w:rPr>
          <w:szCs w:val="22"/>
        </w:rPr>
        <w:t xml:space="preserve"> </w:t>
      </w:r>
      <w:r w:rsidRPr="00D56F4C">
        <w:rPr>
          <w:szCs w:val="22"/>
        </w:rPr>
        <w:t xml:space="preserve">the atmosphere. </w:t>
      </w:r>
      <w:r>
        <w:rPr>
          <w:szCs w:val="22"/>
        </w:rPr>
        <w:t xml:space="preserve"> </w:t>
      </w:r>
      <w:r w:rsidRPr="00D56F4C">
        <w:rPr>
          <w:szCs w:val="22"/>
        </w:rPr>
        <w:t xml:space="preserve">The </w:t>
      </w:r>
      <w:r w:rsidRPr="00864676">
        <w:rPr>
          <w:szCs w:val="22"/>
        </w:rPr>
        <w:t>CO</w:t>
      </w:r>
      <w:r w:rsidRPr="00864676">
        <w:rPr>
          <w:szCs w:val="22"/>
          <w:vertAlign w:val="subscript"/>
        </w:rPr>
        <w:t>2</w:t>
      </w:r>
      <w:r w:rsidRPr="00D56F4C">
        <w:rPr>
          <w:szCs w:val="22"/>
        </w:rPr>
        <w:t xml:space="preserve"> scrubber effluent is sent to the stripper column for removal of ethanol and</w:t>
      </w:r>
      <w:r>
        <w:rPr>
          <w:szCs w:val="22"/>
        </w:rPr>
        <w:t xml:space="preserve"> </w:t>
      </w:r>
      <w:r w:rsidRPr="00D56F4C">
        <w:rPr>
          <w:szCs w:val="22"/>
        </w:rPr>
        <w:t>related compounds.</w:t>
      </w:r>
    </w:p>
    <w:p w:rsidR="00020211" w:rsidRPr="001F06BC" w:rsidRDefault="00020211" w:rsidP="00020211">
      <w:pPr>
        <w:spacing w:after="120"/>
        <w:rPr>
          <w:color w:val="000000" w:themeColor="text1"/>
          <w:sz w:val="22"/>
          <w:szCs w:val="22"/>
        </w:rPr>
      </w:pPr>
      <w:r w:rsidRPr="00455EDD">
        <w:rPr>
          <w:color w:val="000000" w:themeColor="text1"/>
          <w:sz w:val="22"/>
          <w:szCs w:val="22"/>
        </w:rPr>
        <w:t>The following equipment will be used in steps 004b and 004c:  rotary screens; juice evaporator; clean and foul condensate tanks; a sulfuric acid tank; a urea tank; yeast mixing tank; pre-fermenter; pre-fermenter cooler; fermenters; fermenter coolers; beer well tank; beer/sucrose heat exchanger; and CO</w:t>
      </w:r>
      <w:r w:rsidRPr="00455EDD">
        <w:rPr>
          <w:color w:val="000000" w:themeColor="text1"/>
          <w:sz w:val="22"/>
          <w:szCs w:val="22"/>
          <w:vertAlign w:val="subscript"/>
        </w:rPr>
        <w:t>2</w:t>
      </w:r>
      <w:r w:rsidRPr="00455EDD">
        <w:rPr>
          <w:color w:val="000000" w:themeColor="text1"/>
          <w:sz w:val="22"/>
          <w:szCs w:val="22"/>
        </w:rPr>
        <w:t xml:space="preserve"> scrubbing</w:t>
      </w:r>
      <w:r>
        <w:rPr>
          <w:color w:val="000000" w:themeColor="text1"/>
          <w:sz w:val="22"/>
          <w:szCs w:val="22"/>
        </w:rPr>
        <w:t xml:space="preserve"> column</w:t>
      </w:r>
      <w:r w:rsidRPr="00455EDD">
        <w:rPr>
          <w:color w:val="000000" w:themeColor="text1"/>
          <w:sz w:val="22"/>
          <w:szCs w:val="22"/>
        </w:rPr>
        <w:t>.</w:t>
      </w:r>
    </w:p>
    <w:p w:rsidR="00020211" w:rsidRPr="00E21ECE" w:rsidRDefault="00020211" w:rsidP="00020211">
      <w:pPr>
        <w:autoSpaceDE w:val="0"/>
        <w:autoSpaceDN w:val="0"/>
        <w:adjustRightInd w:val="0"/>
        <w:spacing w:after="120"/>
        <w:rPr>
          <w:sz w:val="22"/>
          <w:szCs w:val="22"/>
        </w:rPr>
      </w:pPr>
      <w:r w:rsidRPr="00E21ECE">
        <w:rPr>
          <w:i/>
          <w:sz w:val="22"/>
          <w:szCs w:val="22"/>
        </w:rPr>
        <w:t xml:space="preserve">Distillation (004d).  </w:t>
      </w:r>
      <w:r w:rsidRPr="00E21ECE">
        <w:rPr>
          <w:sz w:val="22"/>
          <w:szCs w:val="22"/>
        </w:rPr>
        <w:t xml:space="preserve">From the beer storage, the beer is sent to a pre-heater and then to a beer/stillage heat exchanger. </w:t>
      </w:r>
      <w:r>
        <w:rPr>
          <w:sz w:val="22"/>
          <w:szCs w:val="22"/>
        </w:rPr>
        <w:t xml:space="preserve"> </w:t>
      </w:r>
      <w:r w:rsidRPr="00E21ECE">
        <w:rPr>
          <w:sz w:val="22"/>
          <w:szCs w:val="22"/>
        </w:rPr>
        <w:t>The gas removed in the</w:t>
      </w:r>
      <w:r>
        <w:rPr>
          <w:sz w:val="22"/>
          <w:szCs w:val="22"/>
        </w:rPr>
        <w:t xml:space="preserve"> </w:t>
      </w:r>
      <w:r w:rsidRPr="00E21ECE">
        <w:rPr>
          <w:sz w:val="22"/>
          <w:szCs w:val="22"/>
        </w:rPr>
        <w:t xml:space="preserve">degassing column is cooled, scrubbed in the distillation scrubber and then released to atmosphere. </w:t>
      </w:r>
      <w:r>
        <w:rPr>
          <w:sz w:val="22"/>
          <w:szCs w:val="22"/>
        </w:rPr>
        <w:t xml:space="preserve"> </w:t>
      </w:r>
      <w:r w:rsidRPr="00E21ECE">
        <w:rPr>
          <w:sz w:val="22"/>
          <w:szCs w:val="22"/>
        </w:rPr>
        <w:t>The</w:t>
      </w:r>
      <w:r>
        <w:rPr>
          <w:sz w:val="22"/>
          <w:szCs w:val="22"/>
        </w:rPr>
        <w:t xml:space="preserve"> </w:t>
      </w:r>
      <w:r w:rsidRPr="00E21ECE">
        <w:rPr>
          <w:sz w:val="22"/>
          <w:szCs w:val="22"/>
        </w:rPr>
        <w:t>beer column overhead is transferred in the vapor phase to the rectifier column.</w:t>
      </w:r>
    </w:p>
    <w:p w:rsidR="00020211" w:rsidRDefault="00020211" w:rsidP="00020211">
      <w:pPr>
        <w:autoSpaceDE w:val="0"/>
        <w:autoSpaceDN w:val="0"/>
        <w:adjustRightInd w:val="0"/>
        <w:spacing w:after="120"/>
        <w:rPr>
          <w:sz w:val="22"/>
          <w:szCs w:val="22"/>
        </w:rPr>
      </w:pPr>
      <w:r w:rsidRPr="00E21ECE">
        <w:rPr>
          <w:sz w:val="22"/>
          <w:szCs w:val="22"/>
        </w:rPr>
        <w:t>The al</w:t>
      </w:r>
      <w:r>
        <w:rPr>
          <w:sz w:val="22"/>
          <w:szCs w:val="22"/>
        </w:rPr>
        <w:t xml:space="preserve">cohol stream is increased to 91% </w:t>
      </w:r>
      <w:r w:rsidRPr="00E21ECE">
        <w:rPr>
          <w:sz w:val="22"/>
          <w:szCs w:val="22"/>
        </w:rPr>
        <w:t>by weight ethanol concentration in the rectifier column.</w:t>
      </w:r>
      <w:r>
        <w:rPr>
          <w:sz w:val="22"/>
          <w:szCs w:val="22"/>
        </w:rPr>
        <w:t xml:space="preserve">  </w:t>
      </w:r>
      <w:r w:rsidRPr="00E21ECE">
        <w:rPr>
          <w:sz w:val="22"/>
          <w:szCs w:val="22"/>
        </w:rPr>
        <w:t>Rectifier overhead vapor is sent to the molecular sieve units to further remove water to less than</w:t>
      </w:r>
      <w:r>
        <w:rPr>
          <w:sz w:val="22"/>
          <w:szCs w:val="22"/>
        </w:rPr>
        <w:t xml:space="preserve"> 0.7% </w:t>
      </w:r>
      <w:r w:rsidRPr="00E21ECE">
        <w:rPr>
          <w:sz w:val="22"/>
          <w:szCs w:val="22"/>
        </w:rPr>
        <w:t xml:space="preserve">by weight in the ethanol product. </w:t>
      </w:r>
      <w:r>
        <w:rPr>
          <w:sz w:val="22"/>
          <w:szCs w:val="22"/>
        </w:rPr>
        <w:t xml:space="preserve"> </w:t>
      </w:r>
      <w:r w:rsidRPr="00E21ECE">
        <w:rPr>
          <w:sz w:val="22"/>
          <w:szCs w:val="22"/>
        </w:rPr>
        <w:t>P</w:t>
      </w:r>
      <w:r w:rsidRPr="003D5793">
        <w:rPr>
          <w:sz w:val="22"/>
          <w:szCs w:val="22"/>
        </w:rPr>
        <w:t xml:space="preserve">ropanol and </w:t>
      </w:r>
      <w:proofErr w:type="spellStart"/>
      <w:r w:rsidRPr="003D5793">
        <w:rPr>
          <w:sz w:val="22"/>
          <w:szCs w:val="22"/>
        </w:rPr>
        <w:t>fusel</w:t>
      </w:r>
      <w:proofErr w:type="spellEnd"/>
      <w:r w:rsidRPr="003D5793">
        <w:rPr>
          <w:sz w:val="22"/>
          <w:szCs w:val="22"/>
        </w:rPr>
        <w:t xml:space="preserve"> oils </w:t>
      </w:r>
      <w:r w:rsidR="00D6579A">
        <w:rPr>
          <w:sz w:val="22"/>
          <w:szCs w:val="22"/>
        </w:rPr>
        <w:t xml:space="preserve">(non-ethanol fermentation products) </w:t>
      </w:r>
      <w:r w:rsidRPr="003D5793">
        <w:rPr>
          <w:sz w:val="22"/>
          <w:szCs w:val="22"/>
        </w:rPr>
        <w:t>are</w:t>
      </w:r>
      <w:r w:rsidRPr="00E21ECE">
        <w:rPr>
          <w:sz w:val="22"/>
          <w:szCs w:val="22"/>
        </w:rPr>
        <w:t xml:space="preserve"> removed from the lower section</w:t>
      </w:r>
      <w:r>
        <w:rPr>
          <w:sz w:val="22"/>
          <w:szCs w:val="22"/>
        </w:rPr>
        <w:t xml:space="preserve"> </w:t>
      </w:r>
      <w:r w:rsidRPr="00E21ECE">
        <w:rPr>
          <w:sz w:val="22"/>
          <w:szCs w:val="22"/>
        </w:rPr>
        <w:t xml:space="preserve">of the rectifier </w:t>
      </w:r>
      <w:r>
        <w:rPr>
          <w:sz w:val="22"/>
          <w:szCs w:val="22"/>
        </w:rPr>
        <w:t>column and combined with the 91%</w:t>
      </w:r>
      <w:r w:rsidRPr="00E21ECE">
        <w:rPr>
          <w:sz w:val="22"/>
          <w:szCs w:val="22"/>
        </w:rPr>
        <w:t xml:space="preserve"> ethanol vapor which goes to the molecular</w:t>
      </w:r>
      <w:r>
        <w:rPr>
          <w:sz w:val="22"/>
          <w:szCs w:val="22"/>
        </w:rPr>
        <w:t xml:space="preserve"> </w:t>
      </w:r>
      <w:r w:rsidRPr="00E21ECE">
        <w:rPr>
          <w:sz w:val="22"/>
          <w:szCs w:val="22"/>
        </w:rPr>
        <w:t xml:space="preserve">sieves. </w:t>
      </w:r>
    </w:p>
    <w:p w:rsidR="00020211" w:rsidRDefault="00020211" w:rsidP="00020211">
      <w:pPr>
        <w:autoSpaceDE w:val="0"/>
        <w:autoSpaceDN w:val="0"/>
        <w:adjustRightInd w:val="0"/>
        <w:spacing w:after="120"/>
        <w:rPr>
          <w:sz w:val="22"/>
          <w:szCs w:val="22"/>
        </w:rPr>
      </w:pPr>
      <w:r w:rsidRPr="00E21ECE">
        <w:rPr>
          <w:sz w:val="22"/>
          <w:szCs w:val="22"/>
        </w:rPr>
        <w:t>Rectifier bottoms are sent to a stripper column to strip remaining traces of ethanol from the</w:t>
      </w:r>
      <w:r>
        <w:rPr>
          <w:sz w:val="22"/>
          <w:szCs w:val="22"/>
        </w:rPr>
        <w:t xml:space="preserve"> </w:t>
      </w:r>
      <w:r w:rsidRPr="00E21ECE">
        <w:rPr>
          <w:sz w:val="22"/>
          <w:szCs w:val="22"/>
        </w:rPr>
        <w:t xml:space="preserve">rectifier bottoms. </w:t>
      </w:r>
      <w:r>
        <w:rPr>
          <w:sz w:val="22"/>
          <w:szCs w:val="22"/>
        </w:rPr>
        <w:t xml:space="preserve"> </w:t>
      </w:r>
      <w:r w:rsidRPr="00E21ECE">
        <w:rPr>
          <w:sz w:val="22"/>
          <w:szCs w:val="22"/>
        </w:rPr>
        <w:t xml:space="preserve">The bottoms from the stripper column </w:t>
      </w:r>
      <w:r w:rsidR="00D6579A">
        <w:rPr>
          <w:sz w:val="22"/>
          <w:szCs w:val="22"/>
        </w:rPr>
        <w:t>consist</w:t>
      </w:r>
      <w:r w:rsidRPr="00E21ECE">
        <w:rPr>
          <w:sz w:val="22"/>
          <w:szCs w:val="22"/>
        </w:rPr>
        <w:t xml:space="preserve"> of almost pure water, and are</w:t>
      </w:r>
      <w:r>
        <w:rPr>
          <w:sz w:val="22"/>
          <w:szCs w:val="22"/>
        </w:rPr>
        <w:t xml:space="preserve"> </w:t>
      </w:r>
      <w:r w:rsidRPr="00E21ECE">
        <w:rPr>
          <w:sz w:val="22"/>
          <w:szCs w:val="22"/>
        </w:rPr>
        <w:t xml:space="preserve">reused in the process. </w:t>
      </w:r>
      <w:r>
        <w:rPr>
          <w:sz w:val="22"/>
          <w:szCs w:val="22"/>
        </w:rPr>
        <w:t xml:space="preserve"> </w:t>
      </w:r>
      <w:r w:rsidRPr="00E21ECE">
        <w:rPr>
          <w:sz w:val="22"/>
          <w:szCs w:val="22"/>
        </w:rPr>
        <w:t>The stripper column overhead vapor is sent back to the rectifying column.</w:t>
      </w:r>
    </w:p>
    <w:p w:rsidR="00020211" w:rsidRPr="00604210" w:rsidRDefault="00020211" w:rsidP="00020211">
      <w:pPr>
        <w:autoSpaceDE w:val="0"/>
        <w:autoSpaceDN w:val="0"/>
        <w:adjustRightInd w:val="0"/>
        <w:spacing w:after="120"/>
        <w:rPr>
          <w:sz w:val="22"/>
          <w:szCs w:val="22"/>
        </w:rPr>
      </w:pPr>
      <w:r w:rsidRPr="00604210">
        <w:rPr>
          <w:sz w:val="22"/>
          <w:szCs w:val="22"/>
        </w:rPr>
        <w:t>The following equipment will be used in step 004</w:t>
      </w:r>
      <w:r>
        <w:rPr>
          <w:sz w:val="22"/>
          <w:szCs w:val="22"/>
        </w:rPr>
        <w:t>d</w:t>
      </w:r>
      <w:r w:rsidRPr="00604210">
        <w:rPr>
          <w:sz w:val="22"/>
          <w:szCs w:val="22"/>
        </w:rPr>
        <w:t xml:space="preserve">:  beer distillation column; degassing column; degassing condenser; stripping column; rectification column; heat exchangers; </w:t>
      </w:r>
      <w:proofErr w:type="spellStart"/>
      <w:r w:rsidRPr="00604210">
        <w:rPr>
          <w:sz w:val="22"/>
          <w:szCs w:val="22"/>
        </w:rPr>
        <w:t>fusel</w:t>
      </w:r>
      <w:proofErr w:type="spellEnd"/>
      <w:r w:rsidRPr="00604210">
        <w:rPr>
          <w:sz w:val="22"/>
          <w:szCs w:val="22"/>
        </w:rPr>
        <w:t xml:space="preserve"> oil decanter; hydrated alcohol tank; CO</w:t>
      </w:r>
      <w:r w:rsidRPr="00E608D6">
        <w:rPr>
          <w:sz w:val="22"/>
          <w:szCs w:val="22"/>
          <w:vertAlign w:val="subscript"/>
        </w:rPr>
        <w:t>2</w:t>
      </w:r>
      <w:r w:rsidRPr="00604210">
        <w:rPr>
          <w:sz w:val="22"/>
          <w:szCs w:val="22"/>
        </w:rPr>
        <w:t xml:space="preserve"> washing column; and scrubber water degasser</w:t>
      </w:r>
      <w:r>
        <w:rPr>
          <w:sz w:val="22"/>
          <w:szCs w:val="22"/>
        </w:rPr>
        <w:t>.</w:t>
      </w:r>
    </w:p>
    <w:p w:rsidR="00020211" w:rsidRPr="00544FF0" w:rsidRDefault="00020211" w:rsidP="00020211">
      <w:pPr>
        <w:autoSpaceDE w:val="0"/>
        <w:autoSpaceDN w:val="0"/>
        <w:adjustRightInd w:val="0"/>
        <w:spacing w:after="120"/>
        <w:rPr>
          <w:sz w:val="22"/>
          <w:szCs w:val="22"/>
        </w:rPr>
      </w:pPr>
      <w:r w:rsidRPr="005A5746">
        <w:rPr>
          <w:i/>
          <w:sz w:val="22"/>
          <w:szCs w:val="22"/>
        </w:rPr>
        <w:t>Vinasse Evaporation</w:t>
      </w:r>
      <w:r>
        <w:rPr>
          <w:i/>
          <w:sz w:val="22"/>
          <w:szCs w:val="22"/>
        </w:rPr>
        <w:t xml:space="preserve"> (004e)</w:t>
      </w:r>
      <w:r w:rsidRPr="005A5746">
        <w:rPr>
          <w:i/>
          <w:sz w:val="22"/>
          <w:szCs w:val="22"/>
        </w:rPr>
        <w:t>.</w:t>
      </w:r>
      <w:r>
        <w:rPr>
          <w:sz w:val="22"/>
          <w:szCs w:val="22"/>
        </w:rPr>
        <w:t xml:space="preserve">  </w:t>
      </w:r>
      <w:r w:rsidRPr="00544FF0">
        <w:rPr>
          <w:sz w:val="22"/>
          <w:szCs w:val="22"/>
        </w:rPr>
        <w:t>The beer column bottom stillage, called vinasse, is cooled using the incoming beer as the heat sink and</w:t>
      </w:r>
      <w:r>
        <w:rPr>
          <w:sz w:val="22"/>
          <w:szCs w:val="22"/>
        </w:rPr>
        <w:t xml:space="preserve"> </w:t>
      </w:r>
      <w:r w:rsidRPr="00544FF0">
        <w:rPr>
          <w:sz w:val="22"/>
          <w:szCs w:val="22"/>
        </w:rPr>
        <w:t xml:space="preserve">sent to storage. </w:t>
      </w:r>
      <w:r>
        <w:rPr>
          <w:sz w:val="22"/>
          <w:szCs w:val="22"/>
        </w:rPr>
        <w:t xml:space="preserve"> </w:t>
      </w:r>
      <w:r w:rsidRPr="00544FF0">
        <w:rPr>
          <w:sz w:val="22"/>
          <w:szCs w:val="22"/>
        </w:rPr>
        <w:t>From the storage, the vinasse is evaporated to 40</w:t>
      </w:r>
      <w:r>
        <w:rPr>
          <w:sz w:val="22"/>
          <w:szCs w:val="22"/>
        </w:rPr>
        <w:t>%</w:t>
      </w:r>
      <w:r w:rsidRPr="00544FF0">
        <w:rPr>
          <w:sz w:val="22"/>
          <w:szCs w:val="22"/>
        </w:rPr>
        <w:t xml:space="preserve"> solids using a combination of</w:t>
      </w:r>
      <w:r>
        <w:rPr>
          <w:sz w:val="22"/>
          <w:szCs w:val="22"/>
        </w:rPr>
        <w:t xml:space="preserve"> </w:t>
      </w:r>
      <w:r w:rsidRPr="00544FF0">
        <w:rPr>
          <w:sz w:val="22"/>
          <w:szCs w:val="22"/>
        </w:rPr>
        <w:t xml:space="preserve">several waste heat sources and live steam in three sets of multiple effect evaporators. </w:t>
      </w:r>
      <w:r>
        <w:rPr>
          <w:sz w:val="22"/>
          <w:szCs w:val="22"/>
        </w:rPr>
        <w:t xml:space="preserve"> </w:t>
      </w:r>
      <w:r w:rsidRPr="00544FF0">
        <w:rPr>
          <w:sz w:val="22"/>
          <w:szCs w:val="22"/>
        </w:rPr>
        <w:t>The concentrated</w:t>
      </w:r>
      <w:r>
        <w:rPr>
          <w:sz w:val="22"/>
          <w:szCs w:val="22"/>
        </w:rPr>
        <w:t xml:space="preserve"> </w:t>
      </w:r>
      <w:r w:rsidRPr="00544FF0">
        <w:rPr>
          <w:sz w:val="22"/>
          <w:szCs w:val="22"/>
        </w:rPr>
        <w:t>vinasse is stored and then loaded onto trucks for shipment to be utilized for animal feed.</w:t>
      </w:r>
    </w:p>
    <w:p w:rsidR="00020211" w:rsidRDefault="00020211" w:rsidP="00020211">
      <w:pPr>
        <w:autoSpaceDE w:val="0"/>
        <w:autoSpaceDN w:val="0"/>
        <w:adjustRightInd w:val="0"/>
        <w:spacing w:after="120"/>
        <w:rPr>
          <w:sz w:val="22"/>
          <w:szCs w:val="22"/>
        </w:rPr>
      </w:pPr>
      <w:r w:rsidRPr="00544FF0">
        <w:rPr>
          <w:sz w:val="22"/>
          <w:szCs w:val="22"/>
        </w:rPr>
        <w:lastRenderedPageBreak/>
        <w:t>Vinasse evaporator vapor condensates will normally be less than 3,000 parts per million (ppm) chemical</w:t>
      </w:r>
      <w:r>
        <w:rPr>
          <w:sz w:val="22"/>
          <w:szCs w:val="22"/>
        </w:rPr>
        <w:t xml:space="preserve"> </w:t>
      </w:r>
      <w:r w:rsidRPr="00544FF0">
        <w:rPr>
          <w:sz w:val="22"/>
          <w:szCs w:val="22"/>
        </w:rPr>
        <w:t>oxygen demand (COD) with 70 pounds per hour (lb/hr) dissolved solids, 26 lb/hr alcohol and 44 lb/hr</w:t>
      </w:r>
      <w:r>
        <w:rPr>
          <w:sz w:val="22"/>
          <w:szCs w:val="22"/>
        </w:rPr>
        <w:t xml:space="preserve"> </w:t>
      </w:r>
      <w:r w:rsidRPr="00544FF0">
        <w:rPr>
          <w:sz w:val="22"/>
          <w:szCs w:val="22"/>
        </w:rPr>
        <w:t xml:space="preserve">liquid fermentation byproducts. </w:t>
      </w:r>
      <w:r>
        <w:rPr>
          <w:sz w:val="22"/>
          <w:szCs w:val="22"/>
        </w:rPr>
        <w:t xml:space="preserve"> </w:t>
      </w:r>
      <w:r w:rsidRPr="00544FF0">
        <w:rPr>
          <w:sz w:val="22"/>
          <w:szCs w:val="22"/>
        </w:rPr>
        <w:t>The condensed vinasse vapor condensate stream will be processed as</w:t>
      </w:r>
      <w:r>
        <w:rPr>
          <w:sz w:val="22"/>
          <w:szCs w:val="22"/>
        </w:rPr>
        <w:t xml:space="preserve"> </w:t>
      </w:r>
      <w:r w:rsidRPr="00544FF0">
        <w:rPr>
          <w:sz w:val="22"/>
          <w:szCs w:val="22"/>
        </w:rPr>
        <w:t>necessary for reuse as cooling tower make-up.</w:t>
      </w:r>
    </w:p>
    <w:p w:rsidR="00020211" w:rsidRDefault="00020211" w:rsidP="00020211">
      <w:pPr>
        <w:autoSpaceDE w:val="0"/>
        <w:autoSpaceDN w:val="0"/>
        <w:adjustRightInd w:val="0"/>
        <w:spacing w:after="120"/>
        <w:rPr>
          <w:sz w:val="22"/>
          <w:szCs w:val="22"/>
        </w:rPr>
      </w:pPr>
      <w:r w:rsidRPr="00152855">
        <w:rPr>
          <w:sz w:val="22"/>
          <w:szCs w:val="22"/>
        </w:rPr>
        <w:t xml:space="preserve">The zeolite beds must be regenerated periodically by vacuum. </w:t>
      </w:r>
      <w:r>
        <w:rPr>
          <w:sz w:val="22"/>
          <w:szCs w:val="22"/>
        </w:rPr>
        <w:t xml:space="preserve"> </w:t>
      </w:r>
      <w:r w:rsidRPr="00152855">
        <w:rPr>
          <w:sz w:val="22"/>
          <w:szCs w:val="22"/>
        </w:rPr>
        <w:t>The molecular sieve bed being</w:t>
      </w:r>
      <w:r>
        <w:rPr>
          <w:sz w:val="22"/>
          <w:szCs w:val="22"/>
        </w:rPr>
        <w:t xml:space="preserve"> </w:t>
      </w:r>
      <w:r w:rsidRPr="00152855">
        <w:rPr>
          <w:sz w:val="22"/>
          <w:szCs w:val="22"/>
        </w:rPr>
        <w:t xml:space="preserve">regenerated is first isolated from the incoming hydrated ethanol steam and the inlet of this bed is </w:t>
      </w:r>
      <w:proofErr w:type="spellStart"/>
      <w:r w:rsidRPr="00152855">
        <w:rPr>
          <w:sz w:val="22"/>
          <w:szCs w:val="22"/>
        </w:rPr>
        <w:t>valved</w:t>
      </w:r>
      <w:proofErr w:type="spellEnd"/>
      <w:r>
        <w:rPr>
          <w:sz w:val="22"/>
          <w:szCs w:val="22"/>
        </w:rPr>
        <w:t xml:space="preserve"> </w:t>
      </w:r>
      <w:r w:rsidRPr="00152855">
        <w:rPr>
          <w:sz w:val="22"/>
          <w:szCs w:val="22"/>
        </w:rPr>
        <w:t xml:space="preserve">to a regeneration condenser. </w:t>
      </w:r>
      <w:r>
        <w:rPr>
          <w:sz w:val="22"/>
          <w:szCs w:val="22"/>
        </w:rPr>
        <w:t xml:space="preserve"> </w:t>
      </w:r>
      <w:r w:rsidRPr="00152855">
        <w:rPr>
          <w:sz w:val="22"/>
          <w:szCs w:val="22"/>
        </w:rPr>
        <w:t>A purge stream consisting of a portion of the dehydrated product from the</w:t>
      </w:r>
      <w:r>
        <w:rPr>
          <w:sz w:val="22"/>
          <w:szCs w:val="22"/>
        </w:rPr>
        <w:t xml:space="preserve"> </w:t>
      </w:r>
      <w:r w:rsidRPr="00152855">
        <w:rPr>
          <w:sz w:val="22"/>
          <w:szCs w:val="22"/>
        </w:rPr>
        <w:t xml:space="preserve">on-line molecular sieve is fed into the outlet of the regenerating molecular sieve. </w:t>
      </w:r>
      <w:r>
        <w:rPr>
          <w:sz w:val="22"/>
          <w:szCs w:val="22"/>
        </w:rPr>
        <w:t xml:space="preserve"> </w:t>
      </w:r>
      <w:r w:rsidRPr="00152855">
        <w:rPr>
          <w:sz w:val="22"/>
          <w:szCs w:val="22"/>
        </w:rPr>
        <w:t>The non-condensable</w:t>
      </w:r>
      <w:r>
        <w:rPr>
          <w:sz w:val="22"/>
          <w:szCs w:val="22"/>
        </w:rPr>
        <w:t xml:space="preserve"> </w:t>
      </w:r>
      <w:r w:rsidRPr="00152855">
        <w:rPr>
          <w:sz w:val="22"/>
          <w:szCs w:val="22"/>
        </w:rPr>
        <w:t>vapors from the regeneration condenser are removed via a two-stage steam ejector or a liquid ring</w:t>
      </w:r>
      <w:r>
        <w:rPr>
          <w:sz w:val="22"/>
          <w:szCs w:val="22"/>
        </w:rPr>
        <w:t xml:space="preserve"> </w:t>
      </w:r>
      <w:r w:rsidRPr="00152855">
        <w:rPr>
          <w:sz w:val="22"/>
          <w:szCs w:val="22"/>
        </w:rPr>
        <w:t>vacuum pump.</w:t>
      </w:r>
      <w:r>
        <w:rPr>
          <w:sz w:val="22"/>
          <w:szCs w:val="22"/>
        </w:rPr>
        <w:t xml:space="preserve"> </w:t>
      </w:r>
      <w:r w:rsidRPr="00152855">
        <w:rPr>
          <w:sz w:val="22"/>
          <w:szCs w:val="22"/>
        </w:rPr>
        <w:t xml:space="preserve"> The cooled non-condensable vapors are then fed to the distillation vent scrubber. </w:t>
      </w:r>
      <w:r>
        <w:rPr>
          <w:sz w:val="22"/>
          <w:szCs w:val="22"/>
        </w:rPr>
        <w:t xml:space="preserve"> </w:t>
      </w:r>
      <w:r w:rsidRPr="00152855">
        <w:rPr>
          <w:sz w:val="22"/>
          <w:szCs w:val="22"/>
        </w:rPr>
        <w:t>The</w:t>
      </w:r>
      <w:r>
        <w:rPr>
          <w:sz w:val="22"/>
          <w:szCs w:val="22"/>
        </w:rPr>
        <w:t xml:space="preserve"> </w:t>
      </w:r>
      <w:r w:rsidRPr="00152855">
        <w:rPr>
          <w:sz w:val="22"/>
          <w:szCs w:val="22"/>
        </w:rPr>
        <w:t>condensed liquid from the regeneration condenser is reclaimed by sending it back to the rectifier column.</w:t>
      </w:r>
    </w:p>
    <w:p w:rsidR="00020211" w:rsidRDefault="00020211" w:rsidP="00020211">
      <w:pPr>
        <w:autoSpaceDE w:val="0"/>
        <w:autoSpaceDN w:val="0"/>
        <w:adjustRightInd w:val="0"/>
        <w:spacing w:after="120"/>
        <w:rPr>
          <w:color w:val="000000" w:themeColor="text1"/>
          <w:sz w:val="22"/>
          <w:szCs w:val="22"/>
        </w:rPr>
      </w:pPr>
      <w:r w:rsidRPr="00604210">
        <w:rPr>
          <w:color w:val="000000" w:themeColor="text1"/>
          <w:sz w:val="22"/>
          <w:szCs w:val="22"/>
        </w:rPr>
        <w:t>The following equipment will be used in step 004e:  multiple effect evaporators; raw and concentrated vinasse storage vessels; and a load out system.</w:t>
      </w:r>
    </w:p>
    <w:p w:rsidR="00020211" w:rsidRDefault="00020211" w:rsidP="00020211">
      <w:pPr>
        <w:autoSpaceDE w:val="0"/>
        <w:autoSpaceDN w:val="0"/>
        <w:adjustRightInd w:val="0"/>
        <w:spacing w:after="120"/>
        <w:rPr>
          <w:color w:val="000000" w:themeColor="text1"/>
          <w:sz w:val="22"/>
          <w:szCs w:val="22"/>
        </w:rPr>
      </w:pPr>
      <w:r w:rsidRPr="00604210">
        <w:rPr>
          <w:bCs/>
          <w:i/>
          <w:iCs/>
          <w:color w:val="000000" w:themeColor="text1"/>
          <w:sz w:val="22"/>
          <w:szCs w:val="22"/>
        </w:rPr>
        <w:t>Dehydration</w:t>
      </w:r>
      <w:r>
        <w:rPr>
          <w:bCs/>
          <w:i/>
          <w:iCs/>
          <w:color w:val="000000" w:themeColor="text1"/>
          <w:sz w:val="22"/>
          <w:szCs w:val="22"/>
        </w:rPr>
        <w:t xml:space="preserve"> (004f)</w:t>
      </w:r>
      <w:r w:rsidRPr="00604210">
        <w:rPr>
          <w:bCs/>
          <w:iCs/>
          <w:color w:val="000000" w:themeColor="text1"/>
          <w:sz w:val="22"/>
          <w:szCs w:val="22"/>
        </w:rPr>
        <w:t xml:space="preserve">:  </w:t>
      </w:r>
      <w:r w:rsidRPr="00604210">
        <w:rPr>
          <w:color w:val="000000" w:themeColor="text1"/>
          <w:sz w:val="22"/>
          <w:szCs w:val="22"/>
        </w:rPr>
        <w:t>The final stage in the ethanol production process is dehydration.  Hydrated alcohol from the distillation process, at about 96% by volume alcohol, undergoes dehydration with a molecular sieve to produce ethanol at 99.3% by weight purity.  The process is performed in a continuous operation where the hydrated alcohol is superheated by steam in a shell and tube heat exchanger to ensure that the ethanol stream is always in the vapor phase as it passes through molecular sieve zeolite beds.  The final ethanol product is condensed, cooled, and sent to the 200-proof storage tank</w:t>
      </w:r>
      <w:r>
        <w:rPr>
          <w:color w:val="000000" w:themeColor="text1"/>
          <w:sz w:val="22"/>
          <w:szCs w:val="22"/>
        </w:rPr>
        <w:t>.</w:t>
      </w:r>
    </w:p>
    <w:p w:rsidR="00020211" w:rsidRDefault="00020211" w:rsidP="00020211">
      <w:pPr>
        <w:autoSpaceDE w:val="0"/>
        <w:autoSpaceDN w:val="0"/>
        <w:adjustRightInd w:val="0"/>
        <w:spacing w:after="120"/>
        <w:rPr>
          <w:color w:val="000000" w:themeColor="text1"/>
          <w:sz w:val="22"/>
          <w:szCs w:val="22"/>
        </w:rPr>
      </w:pPr>
      <w:r w:rsidRPr="00604210">
        <w:rPr>
          <w:color w:val="000000" w:themeColor="text1"/>
          <w:sz w:val="22"/>
          <w:szCs w:val="22"/>
        </w:rPr>
        <w:t>The following equipment will be used in step 004</w:t>
      </w:r>
      <w:r>
        <w:rPr>
          <w:color w:val="000000" w:themeColor="text1"/>
          <w:sz w:val="22"/>
          <w:szCs w:val="22"/>
        </w:rPr>
        <w:t>f</w:t>
      </w:r>
      <w:r w:rsidRPr="00604210">
        <w:rPr>
          <w:color w:val="000000" w:themeColor="text1"/>
          <w:sz w:val="22"/>
          <w:szCs w:val="22"/>
        </w:rPr>
        <w:t xml:space="preserve">:  hydrated alcohol heater; zeolite absorber (molecular sieve); condensers and coolers; filter; dehydrated alcohol holding tank; </w:t>
      </w:r>
      <w:r>
        <w:rPr>
          <w:color w:val="000000" w:themeColor="text1"/>
          <w:sz w:val="22"/>
          <w:szCs w:val="22"/>
        </w:rPr>
        <w:t xml:space="preserve">and </w:t>
      </w:r>
      <w:r w:rsidRPr="00604210">
        <w:rPr>
          <w:color w:val="000000" w:themeColor="text1"/>
          <w:sz w:val="22"/>
          <w:szCs w:val="22"/>
        </w:rPr>
        <w:t>tie-in to CO</w:t>
      </w:r>
      <w:r w:rsidRPr="00604210">
        <w:rPr>
          <w:color w:val="000000" w:themeColor="text1"/>
          <w:sz w:val="22"/>
          <w:szCs w:val="22"/>
          <w:vertAlign w:val="subscript"/>
        </w:rPr>
        <w:t>2</w:t>
      </w:r>
      <w:r w:rsidRPr="00604210">
        <w:rPr>
          <w:color w:val="000000" w:themeColor="text1"/>
          <w:sz w:val="22"/>
          <w:szCs w:val="22"/>
        </w:rPr>
        <w:t xml:space="preserve"> washing column</w:t>
      </w:r>
      <w:r>
        <w:rPr>
          <w:color w:val="000000" w:themeColor="text1"/>
          <w:sz w:val="22"/>
          <w:szCs w:val="22"/>
        </w:rPr>
        <w:t>.</w:t>
      </w:r>
    </w:p>
    <w:p w:rsidR="00020211" w:rsidRPr="0052083F" w:rsidRDefault="00020211" w:rsidP="00020211">
      <w:pPr>
        <w:autoSpaceDE w:val="0"/>
        <w:autoSpaceDN w:val="0"/>
        <w:adjustRightInd w:val="0"/>
        <w:spacing w:after="120"/>
        <w:rPr>
          <w:color w:val="000000" w:themeColor="text1"/>
          <w:sz w:val="22"/>
          <w:szCs w:val="22"/>
        </w:rPr>
      </w:pPr>
      <w:r w:rsidRPr="003D5793">
        <w:rPr>
          <w:i/>
          <w:color w:val="000000" w:themeColor="text1"/>
          <w:sz w:val="22"/>
          <w:szCs w:val="22"/>
        </w:rPr>
        <w:t>Air Pollution Control Equipment</w:t>
      </w:r>
      <w:r w:rsidRPr="003D5793">
        <w:rPr>
          <w:color w:val="000000" w:themeColor="text1"/>
          <w:sz w:val="22"/>
          <w:szCs w:val="22"/>
        </w:rPr>
        <w:t xml:space="preserve">.  </w:t>
      </w:r>
      <w:r w:rsidRPr="003D5793">
        <w:rPr>
          <w:color w:val="000000"/>
          <w:sz w:val="22"/>
          <w:szCs w:val="22"/>
        </w:rPr>
        <w:t>Two wet scrubbers will be used in the ethanol production area to control emissions of ethanol</w:t>
      </w:r>
      <w:r>
        <w:rPr>
          <w:color w:val="000000"/>
          <w:sz w:val="22"/>
          <w:szCs w:val="22"/>
        </w:rPr>
        <w:t>, other VOC and organic HAP</w:t>
      </w:r>
      <w:r w:rsidRPr="003D5793">
        <w:rPr>
          <w:color w:val="000000"/>
          <w:sz w:val="22"/>
          <w:szCs w:val="22"/>
        </w:rPr>
        <w:t xml:space="preserve">.  One will be incorporated into the fermentation step </w:t>
      </w:r>
      <w:r>
        <w:rPr>
          <w:color w:val="000000"/>
          <w:sz w:val="22"/>
          <w:szCs w:val="22"/>
        </w:rPr>
        <w:t>(with NaHSO</w:t>
      </w:r>
      <w:r w:rsidRPr="00E608D6">
        <w:rPr>
          <w:color w:val="000000"/>
          <w:sz w:val="22"/>
          <w:szCs w:val="22"/>
          <w:vertAlign w:val="subscript"/>
        </w:rPr>
        <w:t>4</w:t>
      </w:r>
      <w:r>
        <w:rPr>
          <w:color w:val="000000"/>
          <w:sz w:val="22"/>
          <w:szCs w:val="22"/>
        </w:rPr>
        <w:t xml:space="preserve">) and </w:t>
      </w:r>
      <w:r w:rsidRPr="003D5793">
        <w:rPr>
          <w:color w:val="000000"/>
          <w:sz w:val="22"/>
          <w:szCs w:val="22"/>
        </w:rPr>
        <w:t>the other will be incorporated into the distillation and dehydration steps.  According to the applicant, the two scrubbers will have ethanol/VOC removal efficiencies of 98%.</w:t>
      </w:r>
    </w:p>
    <w:p w:rsidR="00020211" w:rsidRPr="00691BCD" w:rsidRDefault="00020211" w:rsidP="00691BCD">
      <w:pPr>
        <w:pStyle w:val="ListParagraph"/>
        <w:widowControl w:val="0"/>
        <w:numPr>
          <w:ilvl w:val="1"/>
          <w:numId w:val="15"/>
        </w:numPr>
        <w:spacing w:after="120"/>
        <w:ind w:left="720" w:hanging="720"/>
        <w:contextualSpacing w:val="0"/>
        <w:rPr>
          <w:b/>
          <w:sz w:val="22"/>
          <w:szCs w:val="22"/>
        </w:rPr>
      </w:pPr>
      <w:r w:rsidRPr="00691BCD">
        <w:rPr>
          <w:b/>
          <w:sz w:val="22"/>
          <w:szCs w:val="22"/>
        </w:rPr>
        <w:t xml:space="preserve">(E.U. 005) Volatile Organic Liquid Storage Tanks:  Denaturant/Gasoline, Alcohol, Blends </w:t>
      </w:r>
    </w:p>
    <w:p w:rsidR="00020211" w:rsidRPr="001A5552" w:rsidRDefault="00020211" w:rsidP="00020211">
      <w:pPr>
        <w:spacing w:after="60"/>
        <w:rPr>
          <w:color w:val="000000" w:themeColor="text1"/>
          <w:sz w:val="22"/>
          <w:szCs w:val="22"/>
        </w:rPr>
      </w:pPr>
      <w:r w:rsidRPr="001A5552">
        <w:rPr>
          <w:color w:val="000000" w:themeColor="text1"/>
          <w:sz w:val="22"/>
          <w:szCs w:val="22"/>
        </w:rPr>
        <w:t xml:space="preserve">The facility will contain several </w:t>
      </w:r>
      <w:r>
        <w:rPr>
          <w:color w:val="000000" w:themeColor="text1"/>
          <w:sz w:val="22"/>
          <w:szCs w:val="22"/>
        </w:rPr>
        <w:t>volatile organic liquids (</w:t>
      </w:r>
      <w:r w:rsidRPr="001A5552">
        <w:rPr>
          <w:color w:val="000000" w:themeColor="text1"/>
          <w:sz w:val="22"/>
          <w:szCs w:val="22"/>
        </w:rPr>
        <w:t>VOL</w:t>
      </w:r>
      <w:r>
        <w:rPr>
          <w:color w:val="000000" w:themeColor="text1"/>
          <w:sz w:val="22"/>
          <w:szCs w:val="22"/>
        </w:rPr>
        <w:t>)</w:t>
      </w:r>
      <w:r w:rsidRPr="001A5552">
        <w:rPr>
          <w:color w:val="000000" w:themeColor="text1"/>
          <w:sz w:val="22"/>
          <w:szCs w:val="22"/>
        </w:rPr>
        <w:t xml:space="preserve"> organic storage tanks for ethanol, second grade alcohol, denaturant/gasoline and blending tanks.  The following tanks will be controlled by internal floating roofs</w:t>
      </w:r>
      <w:r>
        <w:rPr>
          <w:color w:val="000000" w:themeColor="text1"/>
          <w:sz w:val="22"/>
          <w:szCs w:val="22"/>
        </w:rPr>
        <w:t xml:space="preserve"> and are subject to Title </w:t>
      </w:r>
      <w:r w:rsidRPr="001A5552">
        <w:rPr>
          <w:color w:val="000000" w:themeColor="text1"/>
          <w:sz w:val="22"/>
          <w:szCs w:val="22"/>
        </w:rPr>
        <w:t xml:space="preserve">40 </w:t>
      </w:r>
      <w:r>
        <w:rPr>
          <w:color w:val="000000" w:themeColor="text1"/>
          <w:sz w:val="22"/>
          <w:szCs w:val="22"/>
        </w:rPr>
        <w:t>of the Code of Federal Regulations (</w:t>
      </w:r>
      <w:r w:rsidRPr="001A5552">
        <w:rPr>
          <w:color w:val="000000" w:themeColor="text1"/>
          <w:sz w:val="22"/>
          <w:szCs w:val="22"/>
        </w:rPr>
        <w:t>CFR</w:t>
      </w:r>
      <w:r>
        <w:rPr>
          <w:color w:val="000000" w:themeColor="text1"/>
          <w:sz w:val="22"/>
          <w:szCs w:val="22"/>
        </w:rPr>
        <w:t>), Part</w:t>
      </w:r>
      <w:r w:rsidRPr="001A5552">
        <w:rPr>
          <w:color w:val="000000" w:themeColor="text1"/>
          <w:sz w:val="22"/>
          <w:szCs w:val="22"/>
        </w:rPr>
        <w:t xml:space="preserve"> 60, Subpart </w:t>
      </w:r>
      <w:proofErr w:type="spellStart"/>
      <w:r w:rsidRPr="001A5552">
        <w:rPr>
          <w:color w:val="000000" w:themeColor="text1"/>
          <w:sz w:val="22"/>
          <w:szCs w:val="22"/>
        </w:rPr>
        <w:t>Kb</w:t>
      </w:r>
      <w:proofErr w:type="spellEnd"/>
      <w:r>
        <w:rPr>
          <w:color w:val="000000" w:themeColor="text1"/>
          <w:sz w:val="22"/>
          <w:szCs w:val="22"/>
        </w:rPr>
        <w:t xml:space="preserve"> (40 CFR 60, Subpart </w:t>
      </w:r>
      <w:proofErr w:type="spellStart"/>
      <w:r>
        <w:rPr>
          <w:color w:val="000000" w:themeColor="text1"/>
          <w:sz w:val="22"/>
          <w:szCs w:val="22"/>
        </w:rPr>
        <w:t>Kb</w:t>
      </w:r>
      <w:proofErr w:type="spellEnd"/>
      <w:r>
        <w:rPr>
          <w:color w:val="000000" w:themeColor="text1"/>
          <w:sz w:val="22"/>
          <w:szCs w:val="22"/>
        </w:rPr>
        <w:t>)</w:t>
      </w:r>
      <w:r w:rsidRPr="001A5552">
        <w:rPr>
          <w:color w:val="000000" w:themeColor="text1"/>
          <w:sz w:val="22"/>
          <w:szCs w:val="22"/>
        </w:rPr>
        <w:t xml:space="preserve">:  </w:t>
      </w:r>
    </w:p>
    <w:p w:rsidR="00020211" w:rsidRPr="00285B92" w:rsidRDefault="00020211" w:rsidP="00020211">
      <w:pPr>
        <w:numPr>
          <w:ilvl w:val="0"/>
          <w:numId w:val="21"/>
        </w:numPr>
        <w:spacing w:after="60"/>
        <w:ind w:left="360"/>
        <w:rPr>
          <w:color w:val="000000" w:themeColor="text1"/>
          <w:sz w:val="22"/>
        </w:rPr>
      </w:pPr>
      <w:r>
        <w:rPr>
          <w:color w:val="000000" w:themeColor="text1"/>
          <w:sz w:val="22"/>
          <w:szCs w:val="22"/>
        </w:rPr>
        <w:t>One fuel ethanol s</w:t>
      </w:r>
      <w:r w:rsidRPr="00285B92">
        <w:rPr>
          <w:color w:val="000000" w:themeColor="text1"/>
          <w:sz w:val="22"/>
          <w:szCs w:val="22"/>
        </w:rPr>
        <w:t xml:space="preserve">torage </w:t>
      </w:r>
      <w:r>
        <w:rPr>
          <w:color w:val="000000" w:themeColor="text1"/>
          <w:sz w:val="22"/>
          <w:szCs w:val="22"/>
        </w:rPr>
        <w:t>t</w:t>
      </w:r>
      <w:r w:rsidRPr="00285B92">
        <w:rPr>
          <w:color w:val="000000" w:themeColor="text1"/>
          <w:sz w:val="22"/>
          <w:szCs w:val="22"/>
        </w:rPr>
        <w:t>ank</w:t>
      </w:r>
      <w:r>
        <w:rPr>
          <w:color w:val="000000" w:themeColor="text1"/>
          <w:sz w:val="22"/>
          <w:szCs w:val="22"/>
        </w:rPr>
        <w:t xml:space="preserve"> with a capacity of 1,000</w:t>
      </w:r>
      <w:r>
        <w:rPr>
          <w:color w:val="000000" w:themeColor="text1"/>
          <w:sz w:val="22"/>
        </w:rPr>
        <w:t xml:space="preserve">,000 gallons </w:t>
      </w:r>
      <w:r>
        <w:rPr>
          <w:color w:val="000000" w:themeColor="text1"/>
          <w:sz w:val="22"/>
          <w:szCs w:val="22"/>
        </w:rPr>
        <w:t>(gal);</w:t>
      </w:r>
    </w:p>
    <w:p w:rsidR="00020211" w:rsidRPr="00285B92" w:rsidRDefault="00020211" w:rsidP="00020211">
      <w:pPr>
        <w:numPr>
          <w:ilvl w:val="0"/>
          <w:numId w:val="21"/>
        </w:numPr>
        <w:spacing w:after="60"/>
        <w:ind w:left="360"/>
        <w:rPr>
          <w:color w:val="000000" w:themeColor="text1"/>
          <w:sz w:val="22"/>
        </w:rPr>
      </w:pPr>
      <w:r>
        <w:rPr>
          <w:color w:val="000000" w:themeColor="text1"/>
          <w:sz w:val="22"/>
          <w:szCs w:val="22"/>
        </w:rPr>
        <w:t>One 200 proof ethanol storage tank with a capacity of 100,000 gal;</w:t>
      </w:r>
    </w:p>
    <w:p w:rsidR="00020211" w:rsidRPr="00285B92" w:rsidRDefault="00020211" w:rsidP="00020211">
      <w:pPr>
        <w:numPr>
          <w:ilvl w:val="0"/>
          <w:numId w:val="21"/>
        </w:numPr>
        <w:spacing w:after="60"/>
        <w:ind w:left="360"/>
        <w:rPr>
          <w:color w:val="000000" w:themeColor="text1"/>
          <w:sz w:val="22"/>
        </w:rPr>
      </w:pPr>
      <w:r>
        <w:rPr>
          <w:color w:val="000000" w:themeColor="text1"/>
          <w:sz w:val="22"/>
          <w:szCs w:val="22"/>
        </w:rPr>
        <w:t>One off-specification (off-spec) t</w:t>
      </w:r>
      <w:r w:rsidRPr="00285B92">
        <w:rPr>
          <w:color w:val="000000" w:themeColor="text1"/>
          <w:sz w:val="22"/>
          <w:szCs w:val="22"/>
        </w:rPr>
        <w:t>ank</w:t>
      </w:r>
      <w:r>
        <w:rPr>
          <w:color w:val="000000" w:themeColor="text1"/>
          <w:sz w:val="22"/>
          <w:szCs w:val="22"/>
        </w:rPr>
        <w:t xml:space="preserve"> with a</w:t>
      </w:r>
      <w:r>
        <w:rPr>
          <w:color w:val="000000" w:themeColor="text1"/>
          <w:sz w:val="22"/>
        </w:rPr>
        <w:t xml:space="preserve"> capacity</w:t>
      </w:r>
      <w:r>
        <w:rPr>
          <w:color w:val="000000" w:themeColor="text1"/>
          <w:sz w:val="22"/>
          <w:szCs w:val="22"/>
        </w:rPr>
        <w:t xml:space="preserve"> of 100,000; and</w:t>
      </w:r>
    </w:p>
    <w:p w:rsidR="00020211" w:rsidRPr="00285B92" w:rsidRDefault="00020211" w:rsidP="00020211">
      <w:pPr>
        <w:numPr>
          <w:ilvl w:val="0"/>
          <w:numId w:val="21"/>
        </w:numPr>
        <w:spacing w:after="120"/>
        <w:ind w:left="360"/>
        <w:rPr>
          <w:color w:val="000000" w:themeColor="text1"/>
          <w:sz w:val="22"/>
        </w:rPr>
      </w:pPr>
      <w:r>
        <w:rPr>
          <w:color w:val="000000" w:themeColor="text1"/>
          <w:sz w:val="22"/>
          <w:szCs w:val="22"/>
        </w:rPr>
        <w:t>One denaturant/gasoline tank with a capacity of</w:t>
      </w:r>
      <w:r>
        <w:rPr>
          <w:color w:val="000000" w:themeColor="text1"/>
          <w:sz w:val="22"/>
        </w:rPr>
        <w:t xml:space="preserve"> 100</w:t>
      </w:r>
      <w:r w:rsidRPr="00285B92">
        <w:rPr>
          <w:color w:val="000000" w:themeColor="text1"/>
          <w:sz w:val="22"/>
        </w:rPr>
        <w:t>,000 gal</w:t>
      </w:r>
      <w:r>
        <w:rPr>
          <w:color w:val="000000" w:themeColor="text1"/>
          <w:sz w:val="22"/>
          <w:szCs w:val="22"/>
        </w:rPr>
        <w:t>.</w:t>
      </w:r>
    </w:p>
    <w:p w:rsidR="00020211" w:rsidRDefault="00020211" w:rsidP="00020211">
      <w:pPr>
        <w:spacing w:after="60"/>
        <w:rPr>
          <w:sz w:val="22"/>
          <w:szCs w:val="22"/>
        </w:rPr>
      </w:pPr>
      <w:r>
        <w:rPr>
          <w:sz w:val="22"/>
          <w:szCs w:val="22"/>
        </w:rPr>
        <w:t xml:space="preserve">The following tanks are not subject to 40 CFR 60, Subpart </w:t>
      </w:r>
      <w:proofErr w:type="spellStart"/>
      <w:r>
        <w:rPr>
          <w:sz w:val="22"/>
          <w:szCs w:val="22"/>
        </w:rPr>
        <w:t>Kb</w:t>
      </w:r>
      <w:proofErr w:type="spellEnd"/>
      <w:r>
        <w:rPr>
          <w:sz w:val="22"/>
          <w:szCs w:val="22"/>
        </w:rPr>
        <w:t xml:space="preserve"> and will have a vertical fixed roof (VFR):</w:t>
      </w:r>
    </w:p>
    <w:p w:rsidR="00020211" w:rsidRPr="00E95FC9" w:rsidRDefault="00020211" w:rsidP="00020211">
      <w:pPr>
        <w:numPr>
          <w:ilvl w:val="0"/>
          <w:numId w:val="21"/>
        </w:numPr>
        <w:spacing w:after="60"/>
        <w:ind w:left="360"/>
        <w:rPr>
          <w:color w:val="000000" w:themeColor="text1"/>
          <w:sz w:val="22"/>
          <w:szCs w:val="22"/>
        </w:rPr>
      </w:pPr>
      <w:r>
        <w:rPr>
          <w:color w:val="000000" w:themeColor="text1"/>
          <w:sz w:val="22"/>
          <w:szCs w:val="22"/>
        </w:rPr>
        <w:t>One corrosion inhibitor tank with a capacity of 2,500 gal.</w:t>
      </w:r>
    </w:p>
    <w:p w:rsidR="00020211" w:rsidRPr="00DF4891" w:rsidRDefault="00020211" w:rsidP="007F6A14">
      <w:pPr>
        <w:autoSpaceDE w:val="0"/>
        <w:autoSpaceDN w:val="0"/>
        <w:adjustRightInd w:val="0"/>
        <w:spacing w:after="120"/>
        <w:rPr>
          <w:color w:val="000000" w:themeColor="text1"/>
          <w:sz w:val="22"/>
          <w:szCs w:val="22"/>
        </w:rPr>
      </w:pPr>
      <w:r w:rsidRPr="00DF4891">
        <w:rPr>
          <w:color w:val="000000" w:themeColor="text1"/>
          <w:sz w:val="22"/>
          <w:szCs w:val="22"/>
        </w:rPr>
        <w:t>The facility will include several liquid chemical storage tanks to store sulfuric acid, phosphoric acid and ammonia or urea.  All of these tanks will be of a VFR design except for an anhydrous NH</w:t>
      </w:r>
      <w:r w:rsidRPr="00DF4891">
        <w:rPr>
          <w:color w:val="000000" w:themeColor="text1"/>
          <w:sz w:val="22"/>
          <w:szCs w:val="22"/>
          <w:vertAlign w:val="subscript"/>
        </w:rPr>
        <w:t>3</w:t>
      </w:r>
      <w:r w:rsidRPr="00DF4891">
        <w:rPr>
          <w:color w:val="000000" w:themeColor="text1"/>
          <w:sz w:val="22"/>
          <w:szCs w:val="22"/>
        </w:rPr>
        <w:t xml:space="preserve"> storage tank, which will be of a horizontal pressurized design.  </w:t>
      </w:r>
    </w:p>
    <w:p w:rsidR="00020211" w:rsidRPr="00691BCD" w:rsidRDefault="00020211" w:rsidP="00691BCD">
      <w:pPr>
        <w:pStyle w:val="ListParagraph"/>
        <w:widowControl w:val="0"/>
        <w:numPr>
          <w:ilvl w:val="1"/>
          <w:numId w:val="15"/>
        </w:numPr>
        <w:spacing w:after="120"/>
        <w:ind w:left="720" w:hanging="720"/>
        <w:contextualSpacing w:val="0"/>
        <w:rPr>
          <w:b/>
          <w:sz w:val="22"/>
          <w:szCs w:val="22"/>
        </w:rPr>
      </w:pPr>
      <w:r w:rsidRPr="00691BCD">
        <w:rPr>
          <w:b/>
          <w:sz w:val="22"/>
          <w:szCs w:val="22"/>
        </w:rPr>
        <w:t xml:space="preserve"> (E.U. 006) Truck and Rail Loadout and Flare </w:t>
      </w:r>
    </w:p>
    <w:p w:rsidR="00020211" w:rsidRPr="00F17EB9" w:rsidRDefault="00020211" w:rsidP="007F6A14">
      <w:pPr>
        <w:autoSpaceDE w:val="0"/>
        <w:autoSpaceDN w:val="0"/>
        <w:adjustRightInd w:val="0"/>
        <w:spacing w:after="120"/>
        <w:rPr>
          <w:color w:val="000000" w:themeColor="text1"/>
          <w:sz w:val="22"/>
          <w:szCs w:val="22"/>
        </w:rPr>
      </w:pPr>
      <w:r w:rsidRPr="00F17EB9">
        <w:rPr>
          <w:color w:val="000000" w:themeColor="text1"/>
          <w:sz w:val="22"/>
          <w:szCs w:val="22"/>
        </w:rPr>
        <w:t>Loading racks will be used to load out denatured fuel ethanol from the product storage tank to trucks and</w:t>
      </w:r>
      <w:r>
        <w:rPr>
          <w:color w:val="000000" w:themeColor="text1"/>
          <w:sz w:val="22"/>
          <w:szCs w:val="22"/>
        </w:rPr>
        <w:t xml:space="preserve"> </w:t>
      </w:r>
      <w:r w:rsidRPr="00F17EB9">
        <w:rPr>
          <w:color w:val="000000" w:themeColor="text1"/>
          <w:sz w:val="22"/>
          <w:szCs w:val="22"/>
        </w:rPr>
        <w:t xml:space="preserve">railcars. </w:t>
      </w:r>
      <w:r>
        <w:rPr>
          <w:color w:val="000000" w:themeColor="text1"/>
          <w:sz w:val="22"/>
          <w:szCs w:val="22"/>
        </w:rPr>
        <w:t xml:space="preserve"> </w:t>
      </w:r>
      <w:r w:rsidRPr="00F17EB9">
        <w:rPr>
          <w:color w:val="000000" w:themeColor="text1"/>
          <w:sz w:val="22"/>
          <w:szCs w:val="22"/>
        </w:rPr>
        <w:t xml:space="preserve">In-line blending for gasoline and ethanol to produce </w:t>
      </w:r>
      <w:r>
        <w:rPr>
          <w:color w:val="000000" w:themeColor="text1"/>
          <w:sz w:val="22"/>
          <w:szCs w:val="22"/>
        </w:rPr>
        <w:t>a denatured product</w:t>
      </w:r>
      <w:r w:rsidRPr="00F17EB9">
        <w:rPr>
          <w:color w:val="000000" w:themeColor="text1"/>
          <w:sz w:val="22"/>
          <w:szCs w:val="22"/>
        </w:rPr>
        <w:t xml:space="preserve"> may also take place at the loading</w:t>
      </w:r>
      <w:r>
        <w:rPr>
          <w:color w:val="000000" w:themeColor="text1"/>
          <w:sz w:val="22"/>
          <w:szCs w:val="22"/>
        </w:rPr>
        <w:t xml:space="preserve"> </w:t>
      </w:r>
      <w:r w:rsidRPr="00F17EB9">
        <w:rPr>
          <w:color w:val="000000" w:themeColor="text1"/>
          <w:sz w:val="22"/>
          <w:szCs w:val="22"/>
        </w:rPr>
        <w:t xml:space="preserve">rack. </w:t>
      </w:r>
      <w:r>
        <w:rPr>
          <w:color w:val="000000" w:themeColor="text1"/>
          <w:sz w:val="22"/>
          <w:szCs w:val="22"/>
        </w:rPr>
        <w:t xml:space="preserve"> </w:t>
      </w:r>
      <w:r w:rsidRPr="00F17EB9">
        <w:rPr>
          <w:color w:val="000000" w:themeColor="text1"/>
          <w:sz w:val="22"/>
          <w:szCs w:val="22"/>
        </w:rPr>
        <w:t xml:space="preserve">One loading rack will be provided for trucks, and one for railcars. </w:t>
      </w:r>
      <w:r>
        <w:rPr>
          <w:color w:val="000000" w:themeColor="text1"/>
          <w:sz w:val="22"/>
          <w:szCs w:val="22"/>
        </w:rPr>
        <w:t xml:space="preserve"> </w:t>
      </w:r>
      <w:r w:rsidRPr="00F17EB9">
        <w:rPr>
          <w:color w:val="000000" w:themeColor="text1"/>
          <w:sz w:val="22"/>
          <w:szCs w:val="22"/>
        </w:rPr>
        <w:t>The maximum truck loading rate</w:t>
      </w:r>
      <w:r>
        <w:rPr>
          <w:color w:val="000000" w:themeColor="text1"/>
          <w:sz w:val="22"/>
          <w:szCs w:val="22"/>
        </w:rPr>
        <w:t xml:space="preserve"> </w:t>
      </w:r>
      <w:r w:rsidRPr="00F17EB9">
        <w:rPr>
          <w:color w:val="000000" w:themeColor="text1"/>
          <w:sz w:val="22"/>
          <w:szCs w:val="22"/>
        </w:rPr>
        <w:t xml:space="preserve">of each rack will be 600 gpm. </w:t>
      </w:r>
      <w:r>
        <w:rPr>
          <w:color w:val="000000" w:themeColor="text1"/>
          <w:sz w:val="22"/>
          <w:szCs w:val="22"/>
        </w:rPr>
        <w:t xml:space="preserve"> </w:t>
      </w:r>
      <w:r w:rsidRPr="00F17EB9">
        <w:rPr>
          <w:color w:val="000000" w:themeColor="text1"/>
          <w:sz w:val="22"/>
          <w:szCs w:val="22"/>
        </w:rPr>
        <w:t>During ethanol loadout, ethanol and gasoline vapors can be generated.</w:t>
      </w:r>
      <w:r>
        <w:rPr>
          <w:color w:val="000000" w:themeColor="text1"/>
          <w:sz w:val="22"/>
          <w:szCs w:val="22"/>
        </w:rPr>
        <w:t xml:space="preserve">  </w:t>
      </w:r>
      <w:r w:rsidRPr="00F17EB9">
        <w:rPr>
          <w:color w:val="000000" w:themeColor="text1"/>
          <w:sz w:val="22"/>
          <w:szCs w:val="22"/>
        </w:rPr>
        <w:t xml:space="preserve">The vapors are sent to the loading racks flare for destruction. </w:t>
      </w:r>
      <w:r>
        <w:rPr>
          <w:color w:val="000000" w:themeColor="text1"/>
          <w:sz w:val="22"/>
          <w:szCs w:val="22"/>
        </w:rPr>
        <w:t xml:space="preserve"> </w:t>
      </w:r>
      <w:r w:rsidRPr="00F17EB9">
        <w:rPr>
          <w:color w:val="000000" w:themeColor="text1"/>
          <w:sz w:val="22"/>
          <w:szCs w:val="22"/>
        </w:rPr>
        <w:t>The loading racks and the flare will be</w:t>
      </w:r>
      <w:r>
        <w:rPr>
          <w:color w:val="000000" w:themeColor="text1"/>
          <w:sz w:val="22"/>
          <w:szCs w:val="22"/>
        </w:rPr>
        <w:t xml:space="preserve"> </w:t>
      </w:r>
      <w:r w:rsidRPr="00F17EB9">
        <w:rPr>
          <w:color w:val="000000" w:themeColor="text1"/>
          <w:sz w:val="22"/>
          <w:szCs w:val="22"/>
        </w:rPr>
        <w:t xml:space="preserve">permitted to </w:t>
      </w:r>
      <w:r w:rsidRPr="00F17EB9">
        <w:rPr>
          <w:color w:val="000000" w:themeColor="text1"/>
          <w:sz w:val="22"/>
          <w:szCs w:val="22"/>
        </w:rPr>
        <w:lastRenderedPageBreak/>
        <w:t>operate up to 3,120 hr/yr.</w:t>
      </w:r>
      <w:r>
        <w:rPr>
          <w:color w:val="000000" w:themeColor="text1"/>
          <w:sz w:val="22"/>
          <w:szCs w:val="22"/>
        </w:rPr>
        <w:t xml:space="preserve">  </w:t>
      </w:r>
      <w:r w:rsidRPr="00F17EB9">
        <w:rPr>
          <w:color w:val="000000" w:themeColor="text1"/>
          <w:sz w:val="22"/>
          <w:szCs w:val="22"/>
        </w:rPr>
        <w:t xml:space="preserve">A truck loading rack will be used to load ethanol and ethanol blends from the product storage tank to trucks.  </w:t>
      </w:r>
      <w:r w:rsidRPr="00D144A1">
        <w:rPr>
          <w:color w:val="000000" w:themeColor="text1"/>
          <w:sz w:val="22"/>
          <w:szCs w:val="22"/>
        </w:rPr>
        <w:t>The product loadout flare will</w:t>
      </w:r>
      <w:r w:rsidR="000B7CC2">
        <w:rPr>
          <w:color w:val="000000" w:themeColor="text1"/>
          <w:sz w:val="22"/>
          <w:szCs w:val="22"/>
        </w:rPr>
        <w:t xml:space="preserve"> have a rated capacity of 9.8 MM</w:t>
      </w:r>
      <w:r w:rsidRPr="00D144A1">
        <w:rPr>
          <w:color w:val="000000" w:themeColor="text1"/>
          <w:sz w:val="22"/>
          <w:szCs w:val="22"/>
        </w:rPr>
        <w:t>Btu/hr to control VOC vapors displaced from the trucks during the loading of denatured ethanol product.</w:t>
      </w:r>
      <w:r w:rsidRPr="00F17EB9">
        <w:rPr>
          <w:color w:val="000000" w:themeColor="text1"/>
          <w:sz w:val="22"/>
          <w:szCs w:val="22"/>
        </w:rPr>
        <w:t xml:space="preserve">  </w:t>
      </w:r>
    </w:p>
    <w:p w:rsidR="00020211" w:rsidRPr="00691BCD" w:rsidRDefault="00020211" w:rsidP="00691BCD">
      <w:pPr>
        <w:pStyle w:val="ListParagraph"/>
        <w:widowControl w:val="0"/>
        <w:numPr>
          <w:ilvl w:val="1"/>
          <w:numId w:val="15"/>
        </w:numPr>
        <w:spacing w:after="120"/>
        <w:ind w:left="720" w:hanging="720"/>
        <w:contextualSpacing w:val="0"/>
        <w:rPr>
          <w:b/>
          <w:sz w:val="22"/>
          <w:szCs w:val="22"/>
        </w:rPr>
      </w:pPr>
      <w:bookmarkStart w:id="8" w:name="OLE_LINK8"/>
      <w:bookmarkStart w:id="9" w:name="OLE_LINK9"/>
      <w:r w:rsidRPr="00691BCD">
        <w:rPr>
          <w:b/>
          <w:sz w:val="22"/>
          <w:szCs w:val="22"/>
        </w:rPr>
        <w:t>(E.U. 007) Miscellaneous Materials Storage Silos</w:t>
      </w:r>
    </w:p>
    <w:p w:rsidR="00020211" w:rsidRDefault="00020211" w:rsidP="007F6A14">
      <w:pPr>
        <w:autoSpaceDE w:val="0"/>
        <w:autoSpaceDN w:val="0"/>
        <w:adjustRightInd w:val="0"/>
        <w:spacing w:after="120"/>
        <w:rPr>
          <w:b/>
          <w:sz w:val="22"/>
          <w:szCs w:val="22"/>
          <w:u w:val="single"/>
        </w:rPr>
      </w:pPr>
      <w:r w:rsidRPr="00F97929">
        <w:rPr>
          <w:color w:val="000000" w:themeColor="text1"/>
          <w:sz w:val="22"/>
          <w:szCs w:val="22"/>
        </w:rPr>
        <w:t>Materials storage silos will be installed to store material for the DSI</w:t>
      </w:r>
      <w:r>
        <w:rPr>
          <w:color w:val="000000" w:themeColor="text1"/>
          <w:sz w:val="22"/>
          <w:szCs w:val="22"/>
        </w:rPr>
        <w:t>S</w:t>
      </w:r>
      <w:r w:rsidR="000B7CC2">
        <w:rPr>
          <w:color w:val="000000" w:themeColor="text1"/>
          <w:sz w:val="22"/>
          <w:szCs w:val="22"/>
        </w:rPr>
        <w:t xml:space="preserve"> (if necessary)</w:t>
      </w:r>
      <w:r w:rsidRPr="00F97929">
        <w:rPr>
          <w:color w:val="000000" w:themeColor="text1"/>
          <w:sz w:val="22"/>
          <w:szCs w:val="22"/>
        </w:rPr>
        <w:t xml:space="preserve"> and to store ash, as well as</w:t>
      </w:r>
      <w:r>
        <w:rPr>
          <w:color w:val="000000" w:themeColor="text1"/>
          <w:sz w:val="22"/>
          <w:szCs w:val="22"/>
        </w:rPr>
        <w:t xml:space="preserve"> </w:t>
      </w:r>
      <w:r w:rsidRPr="00F97929">
        <w:rPr>
          <w:color w:val="000000" w:themeColor="text1"/>
          <w:sz w:val="22"/>
          <w:szCs w:val="22"/>
        </w:rPr>
        <w:t xml:space="preserve">lime for the water treatment system. </w:t>
      </w:r>
      <w:r>
        <w:rPr>
          <w:color w:val="000000" w:themeColor="text1"/>
          <w:sz w:val="22"/>
          <w:szCs w:val="22"/>
        </w:rPr>
        <w:t xml:space="preserve"> </w:t>
      </w:r>
      <w:r w:rsidRPr="00F97929">
        <w:rPr>
          <w:color w:val="000000" w:themeColor="text1"/>
          <w:sz w:val="22"/>
          <w:szCs w:val="22"/>
        </w:rPr>
        <w:t>Each silo will be controlled by a baghouse or a bin vent filter.</w:t>
      </w:r>
    </w:p>
    <w:p w:rsidR="00020211" w:rsidRPr="00691BCD" w:rsidRDefault="00020211" w:rsidP="00691BCD">
      <w:pPr>
        <w:pStyle w:val="ListParagraph"/>
        <w:widowControl w:val="0"/>
        <w:numPr>
          <w:ilvl w:val="1"/>
          <w:numId w:val="15"/>
        </w:numPr>
        <w:spacing w:after="120"/>
        <w:ind w:left="720" w:hanging="720"/>
        <w:contextualSpacing w:val="0"/>
        <w:rPr>
          <w:b/>
          <w:sz w:val="22"/>
          <w:szCs w:val="22"/>
        </w:rPr>
      </w:pPr>
      <w:r w:rsidRPr="00691BCD">
        <w:rPr>
          <w:b/>
          <w:sz w:val="22"/>
          <w:szCs w:val="22"/>
        </w:rPr>
        <w:t>(E.U. 008) Emergency Equipment</w:t>
      </w:r>
    </w:p>
    <w:bookmarkEnd w:id="8"/>
    <w:bookmarkEnd w:id="9"/>
    <w:p w:rsidR="00020211" w:rsidRPr="00C37CA1" w:rsidRDefault="00020211" w:rsidP="00020211">
      <w:pPr>
        <w:pStyle w:val="ListParagraph"/>
        <w:spacing w:after="120"/>
        <w:ind w:left="0"/>
        <w:contextualSpacing w:val="0"/>
        <w:rPr>
          <w:color w:val="000000" w:themeColor="text1"/>
          <w:sz w:val="22"/>
          <w:szCs w:val="22"/>
        </w:rPr>
      </w:pPr>
      <w:r>
        <w:rPr>
          <w:color w:val="000000" w:themeColor="text1"/>
          <w:sz w:val="22"/>
          <w:szCs w:val="22"/>
        </w:rPr>
        <w:t>There will be o</w:t>
      </w:r>
      <w:r w:rsidRPr="00522995">
        <w:rPr>
          <w:color w:val="000000" w:themeColor="text1"/>
          <w:sz w:val="22"/>
          <w:szCs w:val="22"/>
        </w:rPr>
        <w:t>ne diesel or natural gas-fired electric generator of 2,000</w:t>
      </w:r>
      <w:r>
        <w:rPr>
          <w:color w:val="000000" w:themeColor="text1"/>
          <w:sz w:val="22"/>
          <w:szCs w:val="22"/>
        </w:rPr>
        <w:t xml:space="preserve"> </w:t>
      </w:r>
      <w:r w:rsidRPr="00522995">
        <w:rPr>
          <w:color w:val="000000" w:themeColor="text1"/>
          <w:sz w:val="22"/>
          <w:szCs w:val="22"/>
        </w:rPr>
        <w:t xml:space="preserve">kilowatt (kW) capacity, for purposes of supplying electric power to the facility during a black start or a power failure.  The generator will be limited to 500 hr/yr of operation during emergencies and 100 hr/yr for maintenance and testing.  </w:t>
      </w:r>
      <w:r>
        <w:rPr>
          <w:color w:val="000000" w:themeColor="text1"/>
          <w:sz w:val="22"/>
          <w:szCs w:val="22"/>
        </w:rPr>
        <w:t>There will be o</w:t>
      </w:r>
      <w:r w:rsidRPr="00522995">
        <w:rPr>
          <w:color w:val="000000" w:themeColor="text1"/>
          <w:sz w:val="22"/>
          <w:szCs w:val="22"/>
        </w:rPr>
        <w:t>ne diesel or natural gas-fueled 600 horsepower (hp) diesel fire pump will also be installed to provide firewater during emergencies.  This engine will be limited to 500 hr/yr of operation during emergencies and 100 hr/yr for maintenance and testing.</w:t>
      </w:r>
      <w:r w:rsidRPr="00C37CA1">
        <w:rPr>
          <w:color w:val="000000" w:themeColor="text1"/>
          <w:sz w:val="22"/>
          <w:szCs w:val="22"/>
        </w:rPr>
        <w:t xml:space="preserve"> </w:t>
      </w:r>
    </w:p>
    <w:p w:rsidR="00020211" w:rsidRPr="00691BCD" w:rsidRDefault="00020211" w:rsidP="00691BCD">
      <w:pPr>
        <w:pStyle w:val="ListParagraph"/>
        <w:widowControl w:val="0"/>
        <w:numPr>
          <w:ilvl w:val="1"/>
          <w:numId w:val="15"/>
        </w:numPr>
        <w:spacing w:after="120"/>
        <w:ind w:left="720" w:hanging="720"/>
        <w:contextualSpacing w:val="0"/>
        <w:rPr>
          <w:b/>
          <w:sz w:val="22"/>
          <w:szCs w:val="22"/>
        </w:rPr>
      </w:pPr>
      <w:r w:rsidRPr="00691BCD">
        <w:rPr>
          <w:b/>
          <w:sz w:val="22"/>
          <w:szCs w:val="22"/>
        </w:rPr>
        <w:t>(E.U. 009) Facility-wi</w:t>
      </w:r>
      <w:r w:rsidR="007F6A14">
        <w:rPr>
          <w:b/>
          <w:sz w:val="22"/>
          <w:szCs w:val="22"/>
        </w:rPr>
        <w:t>de Fugitive VOC Equipment Leaks</w:t>
      </w:r>
    </w:p>
    <w:p w:rsidR="00614117" w:rsidRDefault="00020211" w:rsidP="00020211">
      <w:pPr>
        <w:spacing w:after="120"/>
        <w:rPr>
          <w:color w:val="000000" w:themeColor="text1"/>
          <w:sz w:val="22"/>
          <w:szCs w:val="22"/>
        </w:rPr>
      </w:pPr>
      <w:r w:rsidRPr="00C37CA1">
        <w:rPr>
          <w:color w:val="000000" w:themeColor="text1"/>
          <w:sz w:val="22"/>
          <w:szCs w:val="22"/>
        </w:rPr>
        <w:t xml:space="preserve">Fugitive VOC emissions are grouped for the entire process and will be minimized by implementation of a monthly leak detection and repair (LDAR) monitoring program. </w:t>
      </w:r>
    </w:p>
    <w:p w:rsidR="00020211" w:rsidRPr="00691BCD" w:rsidRDefault="00020211" w:rsidP="00691BCD">
      <w:pPr>
        <w:pStyle w:val="ListParagraph"/>
        <w:widowControl w:val="0"/>
        <w:numPr>
          <w:ilvl w:val="1"/>
          <w:numId w:val="15"/>
        </w:numPr>
        <w:spacing w:after="120"/>
        <w:ind w:left="720" w:hanging="720"/>
        <w:contextualSpacing w:val="0"/>
        <w:rPr>
          <w:b/>
          <w:sz w:val="22"/>
          <w:szCs w:val="22"/>
        </w:rPr>
      </w:pPr>
      <w:r w:rsidRPr="00691BCD">
        <w:rPr>
          <w:b/>
          <w:sz w:val="22"/>
          <w:szCs w:val="22"/>
        </w:rPr>
        <w:t>Project Emissions</w:t>
      </w:r>
    </w:p>
    <w:p w:rsidR="00020211" w:rsidRPr="00691BCD" w:rsidRDefault="00020211" w:rsidP="00691BCD">
      <w:pPr>
        <w:widowControl w:val="0"/>
        <w:spacing w:after="120"/>
        <w:rPr>
          <w:sz w:val="22"/>
          <w:szCs w:val="22"/>
        </w:rPr>
      </w:pPr>
      <w:r>
        <w:rPr>
          <w:sz w:val="22"/>
          <w:szCs w:val="22"/>
        </w:rPr>
        <w:t xml:space="preserve">Tabulations of project emissions are given and discussed in conjunction with major source review applicability in </w:t>
      </w:r>
      <w:r w:rsidRPr="00AF374A">
        <w:rPr>
          <w:b/>
          <w:sz w:val="22"/>
          <w:szCs w:val="22"/>
        </w:rPr>
        <w:t xml:space="preserve">Section </w:t>
      </w:r>
      <w:r w:rsidR="00AF374A" w:rsidRPr="00AF374A">
        <w:rPr>
          <w:b/>
          <w:sz w:val="22"/>
          <w:szCs w:val="22"/>
        </w:rPr>
        <w:fldChar w:fldCharType="begin"/>
      </w:r>
      <w:r w:rsidR="00AF374A" w:rsidRPr="00AF374A">
        <w:rPr>
          <w:b/>
          <w:sz w:val="22"/>
          <w:szCs w:val="22"/>
        </w:rPr>
        <w:instrText xml:space="preserve"> REF _Ref487537313 \w \h </w:instrText>
      </w:r>
      <w:r w:rsidR="00AF374A">
        <w:rPr>
          <w:b/>
          <w:sz w:val="22"/>
          <w:szCs w:val="22"/>
        </w:rPr>
        <w:instrText xml:space="preserve"> \* MERGEFORMAT </w:instrText>
      </w:r>
      <w:r w:rsidR="00AF374A" w:rsidRPr="00AF374A">
        <w:rPr>
          <w:b/>
          <w:sz w:val="22"/>
          <w:szCs w:val="22"/>
        </w:rPr>
      </w:r>
      <w:r w:rsidR="00AF374A" w:rsidRPr="00AF374A">
        <w:rPr>
          <w:b/>
          <w:sz w:val="22"/>
          <w:szCs w:val="22"/>
        </w:rPr>
        <w:fldChar w:fldCharType="separate"/>
      </w:r>
      <w:r w:rsidR="00AF374A" w:rsidRPr="00AF374A">
        <w:rPr>
          <w:b/>
          <w:sz w:val="22"/>
          <w:szCs w:val="22"/>
        </w:rPr>
        <w:t>4.2</w:t>
      </w:r>
      <w:r w:rsidR="00AF374A" w:rsidRPr="00AF374A">
        <w:rPr>
          <w:b/>
          <w:sz w:val="22"/>
          <w:szCs w:val="22"/>
        </w:rPr>
        <w:fldChar w:fldCharType="end"/>
      </w:r>
      <w:r>
        <w:rPr>
          <w:sz w:val="22"/>
          <w:szCs w:val="22"/>
        </w:rPr>
        <w:t xml:space="preserve"> below.</w:t>
      </w:r>
    </w:p>
    <w:p w:rsidR="00193F10" w:rsidRPr="00746205" w:rsidRDefault="00193F10" w:rsidP="00AF374A">
      <w:pPr>
        <w:pStyle w:val="ListParagraph"/>
        <w:widowControl w:val="0"/>
        <w:numPr>
          <w:ilvl w:val="0"/>
          <w:numId w:val="15"/>
        </w:numPr>
        <w:spacing w:after="120"/>
        <w:ind w:left="720" w:hanging="720"/>
        <w:contextualSpacing w:val="0"/>
        <w:rPr>
          <w:b/>
          <w:caps/>
          <w:sz w:val="22"/>
          <w:szCs w:val="22"/>
        </w:rPr>
      </w:pPr>
      <w:r w:rsidRPr="00746205">
        <w:rPr>
          <w:b/>
          <w:caps/>
          <w:sz w:val="22"/>
          <w:szCs w:val="22"/>
        </w:rPr>
        <w:t>Applicable Regulations</w:t>
      </w:r>
    </w:p>
    <w:p w:rsidR="00125384" w:rsidRPr="00E7226C" w:rsidRDefault="000A072C" w:rsidP="00E7226C">
      <w:pPr>
        <w:pStyle w:val="ListParagraph"/>
        <w:widowControl w:val="0"/>
        <w:numPr>
          <w:ilvl w:val="1"/>
          <w:numId w:val="15"/>
        </w:numPr>
        <w:spacing w:before="120" w:after="120"/>
        <w:ind w:left="720" w:hanging="720"/>
        <w:contextualSpacing w:val="0"/>
        <w:rPr>
          <w:b/>
          <w:sz w:val="22"/>
          <w:szCs w:val="22"/>
        </w:rPr>
      </w:pPr>
      <w:r w:rsidRPr="00E7226C">
        <w:rPr>
          <w:b/>
          <w:sz w:val="22"/>
          <w:szCs w:val="22"/>
        </w:rPr>
        <w:t xml:space="preserve">State </w:t>
      </w:r>
      <w:r w:rsidR="00125384" w:rsidRPr="00E7226C">
        <w:rPr>
          <w:b/>
          <w:sz w:val="22"/>
          <w:szCs w:val="22"/>
        </w:rPr>
        <w:t>Re</w:t>
      </w:r>
      <w:r w:rsidRPr="00E7226C">
        <w:rPr>
          <w:b/>
          <w:sz w:val="22"/>
          <w:szCs w:val="22"/>
        </w:rPr>
        <w:t>gulations</w:t>
      </w:r>
    </w:p>
    <w:p w:rsidR="00193F10" w:rsidRDefault="002E3095" w:rsidP="005325B9">
      <w:pPr>
        <w:pStyle w:val="BodyText2"/>
        <w:widowControl w:val="0"/>
        <w:numPr>
          <w:ilvl w:val="0"/>
          <w:numId w:val="0"/>
        </w:numPr>
        <w:jc w:val="left"/>
        <w:rPr>
          <w:szCs w:val="22"/>
        </w:rPr>
      </w:pPr>
      <w:r w:rsidRPr="00290299">
        <w:t xml:space="preserve">This project is subject to the applicable environmental laws specified in Section 403 of the Florida Statutes (F.S.).  The Florida Statutes authorize the Department of Environmental Protection to establish rules and regulations regarding air quality as part of the Florida Administrative Code (F.A.C.).  This project is subject to the applicable rules and regulations defined in the following Chapters </w:t>
      </w:r>
      <w:r>
        <w:t xml:space="preserve">of the </w:t>
      </w:r>
      <w:r w:rsidRPr="00290299">
        <w:t>F</w:t>
      </w:r>
      <w:r>
        <w:t>.A.C.</w:t>
      </w:r>
      <w:r w:rsidRPr="00290299">
        <w:t xml:space="preserve">:  </w:t>
      </w:r>
      <w:r w:rsidRPr="00290299">
        <w:rPr>
          <w:szCs w:val="22"/>
        </w:rPr>
        <w:t xml:space="preserve">62-4 (Permitting Requirements); 62-204 (Ambient Air Quality Requirements, PSD Increments, and Federal Regulations Adopted by Reference); 62-210 (Permits Required, Public Notice, Reports, Stack </w:t>
      </w:r>
      <w:r w:rsidRPr="00F75050">
        <w:rPr>
          <w:szCs w:val="22"/>
        </w:rPr>
        <w:t>Height Policy, Circumvention, Excess Emissions, and Forms); 62-212 (Preconstruction Review, PSD Review and BACT, and Non-attainment Area Review); 62-213 (Title V Air Operation Permits for Major Sources of Air Pollution</w:t>
      </w:r>
      <w:r w:rsidRPr="00290299">
        <w:rPr>
          <w:szCs w:val="22"/>
        </w:rPr>
        <w:t>); 62-296 (Emission Limiting Standards); and 62-297 (Test Methods and Procedures, Continuous Monitoring Specifications, and Alternate Sampling Procedures).</w:t>
      </w:r>
      <w:r w:rsidR="005325B9">
        <w:rPr>
          <w:szCs w:val="22"/>
        </w:rPr>
        <w:t xml:space="preserve">  </w:t>
      </w:r>
      <w:r w:rsidR="007975B0">
        <w:rPr>
          <w:szCs w:val="22"/>
        </w:rPr>
        <w:t>PSD applicability and the preconstruction review requirements</w:t>
      </w:r>
      <w:r w:rsidR="005325B9">
        <w:rPr>
          <w:szCs w:val="22"/>
        </w:rPr>
        <w:t xml:space="preserve"> of Rule 62-212.400, F.A</w:t>
      </w:r>
      <w:r w:rsidR="007975B0">
        <w:rPr>
          <w:szCs w:val="22"/>
        </w:rPr>
        <w:t xml:space="preserve">.C. are discussed in </w:t>
      </w:r>
      <w:r w:rsidR="005325B9">
        <w:rPr>
          <w:szCs w:val="22"/>
        </w:rPr>
        <w:t>S</w:t>
      </w:r>
      <w:r w:rsidR="007975B0">
        <w:rPr>
          <w:szCs w:val="22"/>
        </w:rPr>
        <w:t xml:space="preserve">ection </w:t>
      </w:r>
      <w:r w:rsidR="005325B9">
        <w:rPr>
          <w:szCs w:val="22"/>
        </w:rPr>
        <w:t xml:space="preserve">2 </w:t>
      </w:r>
      <w:r w:rsidR="007975B0">
        <w:rPr>
          <w:szCs w:val="22"/>
        </w:rPr>
        <w:t xml:space="preserve">of this report.  Additional details of the other </w:t>
      </w:r>
      <w:r w:rsidRPr="00290299">
        <w:rPr>
          <w:szCs w:val="22"/>
        </w:rPr>
        <w:t xml:space="preserve">state regulations are </w:t>
      </w:r>
      <w:r w:rsidR="007975B0">
        <w:rPr>
          <w:szCs w:val="22"/>
        </w:rPr>
        <w:t xml:space="preserve">provided </w:t>
      </w:r>
      <w:r w:rsidR="005325B9">
        <w:rPr>
          <w:szCs w:val="22"/>
        </w:rPr>
        <w:t>in Section 3 of this report</w:t>
      </w:r>
      <w:r w:rsidRPr="00290299">
        <w:rPr>
          <w:szCs w:val="22"/>
        </w:rPr>
        <w:t>.</w:t>
      </w:r>
    </w:p>
    <w:p w:rsidR="005325B9" w:rsidRPr="00290299" w:rsidRDefault="005325B9" w:rsidP="00E7226C">
      <w:pPr>
        <w:pStyle w:val="ListParagraph"/>
        <w:widowControl w:val="0"/>
        <w:numPr>
          <w:ilvl w:val="1"/>
          <w:numId w:val="15"/>
        </w:numPr>
        <w:spacing w:before="120" w:after="120"/>
        <w:ind w:left="720" w:hanging="720"/>
        <w:contextualSpacing w:val="0"/>
        <w:rPr>
          <w:b/>
          <w:sz w:val="22"/>
        </w:rPr>
      </w:pPr>
      <w:r w:rsidRPr="00290299">
        <w:rPr>
          <w:b/>
          <w:sz w:val="22"/>
        </w:rPr>
        <w:t>Federal Regulations</w:t>
      </w:r>
    </w:p>
    <w:p w:rsidR="005325B9" w:rsidRDefault="005325B9" w:rsidP="005325B9">
      <w:pPr>
        <w:pStyle w:val="BodyText2"/>
        <w:widowControl w:val="0"/>
        <w:numPr>
          <w:ilvl w:val="0"/>
          <w:numId w:val="0"/>
        </w:numPr>
        <w:jc w:val="left"/>
      </w:pPr>
      <w:r w:rsidRPr="00290299">
        <w:t xml:space="preserve">The Environmental Protection Agency </w:t>
      </w:r>
      <w:r w:rsidR="00F540FB">
        <w:t xml:space="preserve">(EPA) </w:t>
      </w:r>
      <w:r w:rsidRPr="00290299">
        <w:t xml:space="preserve">establishes air quality regulations in Title 40 of the Code of Federal Regulations (CFR).  Part 60 identifies New Source Performance Standards (NSPS) for a variety of industrial activities.  Part 61 specifies National Emissions Standards for Hazardous Air Pollutant (NESHAP) based on specific pollutants.  Part 63 </w:t>
      </w:r>
      <w:r>
        <w:t xml:space="preserve">specifies </w:t>
      </w:r>
      <w:r w:rsidRPr="00290299">
        <w:t xml:space="preserve">NESHAP </w:t>
      </w:r>
      <w:r>
        <w:t xml:space="preserve">provisions </w:t>
      </w:r>
      <w:r w:rsidRPr="00290299">
        <w:t>based on the Maximum Achievable Control Technology (MACT) for given source categories.  Federal regulations are adopted in Rule 62-204.800, F.A.C.</w:t>
      </w:r>
      <w:r>
        <w:t xml:space="preserve">  </w:t>
      </w:r>
      <w:r>
        <w:rPr>
          <w:szCs w:val="22"/>
        </w:rPr>
        <w:t xml:space="preserve">Additional details of the applicable federal </w:t>
      </w:r>
      <w:r w:rsidRPr="00290299">
        <w:rPr>
          <w:szCs w:val="22"/>
        </w:rPr>
        <w:t xml:space="preserve">regulations are </w:t>
      </w:r>
      <w:r>
        <w:rPr>
          <w:szCs w:val="22"/>
        </w:rPr>
        <w:t xml:space="preserve">provided in </w:t>
      </w:r>
      <w:r w:rsidRPr="00B70D40">
        <w:rPr>
          <w:b/>
          <w:szCs w:val="22"/>
        </w:rPr>
        <w:t xml:space="preserve">Section </w:t>
      </w:r>
      <w:r w:rsidR="00A17267" w:rsidRPr="00B70D40">
        <w:rPr>
          <w:b/>
          <w:szCs w:val="22"/>
        </w:rPr>
        <w:t>5</w:t>
      </w:r>
      <w:r>
        <w:rPr>
          <w:szCs w:val="22"/>
        </w:rPr>
        <w:t xml:space="preserve"> of this report</w:t>
      </w:r>
      <w:r w:rsidRPr="00290299">
        <w:rPr>
          <w:szCs w:val="22"/>
        </w:rPr>
        <w:t>.</w:t>
      </w:r>
    </w:p>
    <w:p w:rsidR="007975B0" w:rsidRPr="00746205" w:rsidRDefault="007975B0" w:rsidP="00AF374A">
      <w:pPr>
        <w:pStyle w:val="ListParagraph"/>
        <w:widowControl w:val="0"/>
        <w:numPr>
          <w:ilvl w:val="0"/>
          <w:numId w:val="15"/>
        </w:numPr>
        <w:spacing w:after="120"/>
        <w:ind w:left="720" w:hanging="720"/>
        <w:contextualSpacing w:val="0"/>
        <w:rPr>
          <w:b/>
          <w:caps/>
          <w:sz w:val="22"/>
          <w:szCs w:val="22"/>
        </w:rPr>
      </w:pPr>
      <w:r>
        <w:rPr>
          <w:b/>
          <w:caps/>
          <w:sz w:val="22"/>
          <w:szCs w:val="22"/>
        </w:rPr>
        <w:t xml:space="preserve">PSD </w:t>
      </w:r>
      <w:r w:rsidR="00584D97">
        <w:rPr>
          <w:b/>
          <w:caps/>
          <w:sz w:val="22"/>
          <w:szCs w:val="22"/>
        </w:rPr>
        <w:t xml:space="preserve">Applicability </w:t>
      </w:r>
      <w:r>
        <w:rPr>
          <w:b/>
          <w:caps/>
          <w:sz w:val="22"/>
          <w:szCs w:val="22"/>
        </w:rPr>
        <w:t>Review</w:t>
      </w:r>
    </w:p>
    <w:p w:rsidR="002E3095" w:rsidRPr="00290299" w:rsidRDefault="002E3095" w:rsidP="00FC2896">
      <w:pPr>
        <w:pStyle w:val="ListParagraph"/>
        <w:widowControl w:val="0"/>
        <w:numPr>
          <w:ilvl w:val="1"/>
          <w:numId w:val="15"/>
        </w:numPr>
        <w:spacing w:before="120" w:after="120"/>
        <w:ind w:left="720" w:hanging="720"/>
        <w:contextualSpacing w:val="0"/>
        <w:rPr>
          <w:b/>
          <w:sz w:val="22"/>
        </w:rPr>
      </w:pPr>
      <w:r w:rsidRPr="00290299">
        <w:rPr>
          <w:b/>
          <w:sz w:val="22"/>
        </w:rPr>
        <w:t>General PSD Applicability</w:t>
      </w:r>
    </w:p>
    <w:p w:rsidR="00975EF6" w:rsidRDefault="00CC75CA" w:rsidP="005325B9">
      <w:pPr>
        <w:pStyle w:val="BodyText"/>
        <w:widowControl w:val="0"/>
        <w:rPr>
          <w:sz w:val="22"/>
          <w:szCs w:val="22"/>
        </w:rPr>
      </w:pPr>
      <w:r w:rsidRPr="00C606F7">
        <w:rPr>
          <w:sz w:val="22"/>
          <w:szCs w:val="22"/>
        </w:rPr>
        <w:t>T</w:t>
      </w:r>
      <w:r w:rsidR="002E3095" w:rsidRPr="00C606F7">
        <w:rPr>
          <w:sz w:val="22"/>
          <w:szCs w:val="22"/>
        </w:rPr>
        <w:t xml:space="preserve">he Department regulates major </w:t>
      </w:r>
      <w:r w:rsidR="007975B0" w:rsidRPr="00C606F7">
        <w:rPr>
          <w:sz w:val="22"/>
          <w:szCs w:val="22"/>
        </w:rPr>
        <w:t xml:space="preserve">stationary sources </w:t>
      </w:r>
      <w:r w:rsidR="002E3095" w:rsidRPr="00C606F7">
        <w:rPr>
          <w:sz w:val="22"/>
          <w:szCs w:val="22"/>
        </w:rPr>
        <w:t xml:space="preserve">in accordance with Florida’s PSD program </w:t>
      </w:r>
      <w:r w:rsidR="00485F24">
        <w:rPr>
          <w:sz w:val="22"/>
          <w:szCs w:val="22"/>
        </w:rPr>
        <w:t>pursuant to</w:t>
      </w:r>
      <w:r w:rsidR="007975B0" w:rsidRPr="00C606F7">
        <w:rPr>
          <w:sz w:val="22"/>
          <w:szCs w:val="22"/>
        </w:rPr>
        <w:t xml:space="preserve"> </w:t>
      </w:r>
      <w:r w:rsidR="002E3095" w:rsidRPr="00C606F7">
        <w:rPr>
          <w:sz w:val="22"/>
          <w:szCs w:val="22"/>
        </w:rPr>
        <w:t xml:space="preserve">Rule 62-212.400, F.A.C.  PSD preconstruction review is required in areas </w:t>
      </w:r>
      <w:r w:rsidRPr="00C606F7">
        <w:rPr>
          <w:sz w:val="22"/>
          <w:szCs w:val="22"/>
        </w:rPr>
        <w:t xml:space="preserve">that are </w:t>
      </w:r>
      <w:r w:rsidR="002E3095" w:rsidRPr="00C606F7">
        <w:rPr>
          <w:sz w:val="22"/>
          <w:szCs w:val="22"/>
        </w:rPr>
        <w:t xml:space="preserve">currently in attainment with the </w:t>
      </w:r>
      <w:r w:rsidR="002E3095" w:rsidRPr="00C606F7">
        <w:rPr>
          <w:sz w:val="22"/>
          <w:szCs w:val="22"/>
        </w:rPr>
        <w:lastRenderedPageBreak/>
        <w:t xml:space="preserve">Ambient Air Quality Standards (AAQS) or areas designated as “unclassifiable” for </w:t>
      </w:r>
      <w:r w:rsidRPr="00C606F7">
        <w:rPr>
          <w:sz w:val="22"/>
          <w:szCs w:val="22"/>
        </w:rPr>
        <w:t xml:space="preserve">these regulated </w:t>
      </w:r>
      <w:r w:rsidR="002E3095" w:rsidRPr="00C606F7">
        <w:rPr>
          <w:sz w:val="22"/>
          <w:szCs w:val="22"/>
        </w:rPr>
        <w:t>pollutant</w:t>
      </w:r>
      <w:r w:rsidRPr="00C606F7">
        <w:rPr>
          <w:sz w:val="22"/>
          <w:szCs w:val="22"/>
        </w:rPr>
        <w:t>s</w:t>
      </w:r>
      <w:r w:rsidR="002E3095" w:rsidRPr="00C606F7">
        <w:rPr>
          <w:sz w:val="22"/>
          <w:szCs w:val="22"/>
        </w:rPr>
        <w:t xml:space="preserve">.  As defined in Rule 62-210.200, F.A.C., a facility is considered a “major stationary source” if it emits or has the potential to emit 5 tons per year of lead, 250 tons per year or more of any </w:t>
      </w:r>
      <w:r w:rsidR="00141C84" w:rsidRPr="00C606F7">
        <w:rPr>
          <w:sz w:val="22"/>
          <w:szCs w:val="22"/>
        </w:rPr>
        <w:t xml:space="preserve">PSD </w:t>
      </w:r>
      <w:r w:rsidR="002E3095" w:rsidRPr="00C606F7">
        <w:rPr>
          <w:sz w:val="22"/>
          <w:szCs w:val="22"/>
        </w:rPr>
        <w:t xml:space="preserve">pollutant, or 100 tons per year or more of any </w:t>
      </w:r>
      <w:r w:rsidR="00141C84" w:rsidRPr="00C606F7">
        <w:rPr>
          <w:sz w:val="22"/>
          <w:szCs w:val="22"/>
        </w:rPr>
        <w:t>PSD</w:t>
      </w:r>
      <w:r w:rsidR="002E3095" w:rsidRPr="00C606F7">
        <w:rPr>
          <w:sz w:val="22"/>
          <w:szCs w:val="22"/>
        </w:rPr>
        <w:t xml:space="preserve"> pollutant and the facility belongs to one of the 28 listed PSD </w:t>
      </w:r>
      <w:r w:rsidR="00141C84" w:rsidRPr="00C606F7">
        <w:rPr>
          <w:sz w:val="22"/>
          <w:szCs w:val="22"/>
        </w:rPr>
        <w:t>major f</w:t>
      </w:r>
      <w:r w:rsidR="002E3095" w:rsidRPr="00C606F7">
        <w:rPr>
          <w:sz w:val="22"/>
          <w:szCs w:val="22"/>
        </w:rPr>
        <w:t xml:space="preserve">acility </w:t>
      </w:r>
      <w:r w:rsidR="00141C84" w:rsidRPr="00C606F7">
        <w:rPr>
          <w:sz w:val="22"/>
          <w:szCs w:val="22"/>
        </w:rPr>
        <w:t>c</w:t>
      </w:r>
      <w:r w:rsidR="002E3095" w:rsidRPr="00C606F7">
        <w:rPr>
          <w:sz w:val="22"/>
          <w:szCs w:val="22"/>
        </w:rPr>
        <w:t>ategories.</w:t>
      </w:r>
      <w:r w:rsidR="000F3615" w:rsidRPr="00C606F7">
        <w:rPr>
          <w:sz w:val="22"/>
          <w:szCs w:val="22"/>
        </w:rPr>
        <w:t xml:space="preserve">  PSD pollutants include:  carbon monoxide (CO)</w:t>
      </w:r>
      <w:r w:rsidR="00C606F7" w:rsidRPr="00C606F7">
        <w:rPr>
          <w:sz w:val="22"/>
          <w:szCs w:val="22"/>
        </w:rPr>
        <w:t>;</w:t>
      </w:r>
      <w:r w:rsidR="000F3615" w:rsidRPr="00C606F7">
        <w:rPr>
          <w:sz w:val="22"/>
          <w:szCs w:val="22"/>
        </w:rPr>
        <w:t xml:space="preserve"> nitrogen oxides (NO</w:t>
      </w:r>
      <w:r w:rsidR="000F3615" w:rsidRPr="00C606F7">
        <w:rPr>
          <w:sz w:val="22"/>
          <w:szCs w:val="22"/>
          <w:vertAlign w:val="subscript"/>
        </w:rPr>
        <w:t>X</w:t>
      </w:r>
      <w:r w:rsidR="000F3615" w:rsidRPr="00C606F7">
        <w:rPr>
          <w:sz w:val="22"/>
          <w:szCs w:val="22"/>
        </w:rPr>
        <w:t>); sulfur dioxide (SO</w:t>
      </w:r>
      <w:r w:rsidR="000F3615" w:rsidRPr="00C606F7">
        <w:rPr>
          <w:sz w:val="22"/>
          <w:szCs w:val="22"/>
          <w:vertAlign w:val="subscript"/>
        </w:rPr>
        <w:t>2</w:t>
      </w:r>
      <w:r w:rsidR="000F3615" w:rsidRPr="00C606F7">
        <w:rPr>
          <w:sz w:val="22"/>
          <w:szCs w:val="22"/>
        </w:rPr>
        <w:t>); particulate matter</w:t>
      </w:r>
      <w:r w:rsidR="00F540FB">
        <w:rPr>
          <w:sz w:val="22"/>
          <w:szCs w:val="22"/>
        </w:rPr>
        <w:t xml:space="preserve"> (PM)</w:t>
      </w:r>
      <w:r w:rsidR="000F3615" w:rsidRPr="00C606F7">
        <w:rPr>
          <w:sz w:val="22"/>
          <w:szCs w:val="22"/>
        </w:rPr>
        <w:t>; particulate matter with a mean particle diameter of 10 microns or less (PM</w:t>
      </w:r>
      <w:r w:rsidR="000F3615" w:rsidRPr="00C606F7">
        <w:rPr>
          <w:sz w:val="22"/>
          <w:szCs w:val="22"/>
          <w:vertAlign w:val="subscript"/>
        </w:rPr>
        <w:t>10</w:t>
      </w:r>
      <w:r w:rsidR="000F3615" w:rsidRPr="00C606F7">
        <w:rPr>
          <w:sz w:val="22"/>
          <w:szCs w:val="22"/>
        </w:rPr>
        <w:t xml:space="preserve">); </w:t>
      </w:r>
      <w:r w:rsidR="00BE69A9">
        <w:rPr>
          <w:sz w:val="22"/>
          <w:szCs w:val="22"/>
        </w:rPr>
        <w:t>PM</w:t>
      </w:r>
      <w:r w:rsidR="00BE69A9" w:rsidRPr="00BE69A9">
        <w:rPr>
          <w:sz w:val="22"/>
          <w:szCs w:val="22"/>
          <w:vertAlign w:val="subscript"/>
        </w:rPr>
        <w:t>2.5</w:t>
      </w:r>
      <w:r w:rsidR="00BE69A9">
        <w:rPr>
          <w:sz w:val="22"/>
          <w:szCs w:val="22"/>
        </w:rPr>
        <w:t xml:space="preserve">; </w:t>
      </w:r>
      <w:r w:rsidR="000F3615" w:rsidRPr="00C606F7">
        <w:rPr>
          <w:sz w:val="22"/>
          <w:szCs w:val="22"/>
        </w:rPr>
        <w:t>volatile organic compounds (VOC); lead (Pb); Fluorides (Fl); sulfuric acid mist (SAM); hydrogen sulfide (H</w:t>
      </w:r>
      <w:r w:rsidR="000F3615" w:rsidRPr="00C606F7">
        <w:rPr>
          <w:sz w:val="22"/>
          <w:szCs w:val="22"/>
          <w:vertAlign w:val="subscript"/>
        </w:rPr>
        <w:t>2</w:t>
      </w:r>
      <w:r w:rsidR="000F3615" w:rsidRPr="00C606F7">
        <w:rPr>
          <w:sz w:val="22"/>
          <w:szCs w:val="22"/>
        </w:rPr>
        <w:t>S); total reduced sulfur</w:t>
      </w:r>
      <w:r w:rsidR="00C606F7" w:rsidRPr="00C606F7">
        <w:rPr>
          <w:sz w:val="22"/>
          <w:szCs w:val="22"/>
        </w:rPr>
        <w:t xml:space="preserve"> (TRS),</w:t>
      </w:r>
      <w:r w:rsidR="000F3615" w:rsidRPr="00C606F7">
        <w:rPr>
          <w:sz w:val="22"/>
          <w:szCs w:val="22"/>
        </w:rPr>
        <w:t xml:space="preserve"> including H</w:t>
      </w:r>
      <w:r w:rsidR="000F3615" w:rsidRPr="00C606F7">
        <w:rPr>
          <w:sz w:val="22"/>
          <w:szCs w:val="22"/>
          <w:vertAlign w:val="subscript"/>
        </w:rPr>
        <w:t>2</w:t>
      </w:r>
      <w:r w:rsidR="000F3615" w:rsidRPr="00C606F7">
        <w:rPr>
          <w:sz w:val="22"/>
          <w:szCs w:val="22"/>
        </w:rPr>
        <w:t xml:space="preserve">S; </w:t>
      </w:r>
      <w:r w:rsidR="00C606F7" w:rsidRPr="00C606F7">
        <w:rPr>
          <w:sz w:val="22"/>
          <w:szCs w:val="22"/>
        </w:rPr>
        <w:t>r</w:t>
      </w:r>
      <w:r w:rsidR="000F3615" w:rsidRPr="00C606F7">
        <w:rPr>
          <w:sz w:val="22"/>
          <w:szCs w:val="22"/>
        </w:rPr>
        <w:t>educed sulfur compounds</w:t>
      </w:r>
      <w:r w:rsidR="00C606F7" w:rsidRPr="00C606F7">
        <w:rPr>
          <w:sz w:val="22"/>
          <w:szCs w:val="22"/>
        </w:rPr>
        <w:t>,</w:t>
      </w:r>
      <w:r w:rsidR="000F3615" w:rsidRPr="00C606F7">
        <w:rPr>
          <w:sz w:val="22"/>
          <w:szCs w:val="22"/>
        </w:rPr>
        <w:t xml:space="preserve"> including H</w:t>
      </w:r>
      <w:r w:rsidR="000F3615" w:rsidRPr="00C606F7">
        <w:rPr>
          <w:sz w:val="22"/>
          <w:szCs w:val="22"/>
          <w:vertAlign w:val="subscript"/>
        </w:rPr>
        <w:t>2</w:t>
      </w:r>
      <w:r w:rsidR="00C606F7" w:rsidRPr="00C606F7">
        <w:rPr>
          <w:sz w:val="22"/>
          <w:szCs w:val="22"/>
        </w:rPr>
        <w:t>S</w:t>
      </w:r>
      <w:r w:rsidR="000F3615" w:rsidRPr="00C606F7">
        <w:rPr>
          <w:sz w:val="22"/>
          <w:szCs w:val="22"/>
        </w:rPr>
        <w:t xml:space="preserve">; </w:t>
      </w:r>
      <w:r w:rsidR="00C606F7" w:rsidRPr="00C606F7">
        <w:rPr>
          <w:sz w:val="22"/>
          <w:szCs w:val="22"/>
        </w:rPr>
        <w:t>m</w:t>
      </w:r>
      <w:r w:rsidR="000F3615" w:rsidRPr="00C606F7">
        <w:rPr>
          <w:sz w:val="22"/>
          <w:szCs w:val="22"/>
        </w:rPr>
        <w:t xml:space="preserve">unicipal waste combustor organics measured as total tetra- through octa-chlorinated dibenzo-p-dioxins and dibenzofurans; </w:t>
      </w:r>
      <w:r w:rsidR="00C606F7" w:rsidRPr="00C606F7">
        <w:rPr>
          <w:sz w:val="22"/>
          <w:szCs w:val="22"/>
        </w:rPr>
        <w:t>m</w:t>
      </w:r>
      <w:r w:rsidR="000F3615" w:rsidRPr="00C606F7">
        <w:rPr>
          <w:sz w:val="22"/>
          <w:szCs w:val="22"/>
        </w:rPr>
        <w:t xml:space="preserve">unicipal waste combustor metals measured as particulate matter; </w:t>
      </w:r>
      <w:r w:rsidR="00C606F7" w:rsidRPr="00C606F7">
        <w:rPr>
          <w:sz w:val="22"/>
          <w:szCs w:val="22"/>
        </w:rPr>
        <w:t>m</w:t>
      </w:r>
      <w:r w:rsidR="000F3615" w:rsidRPr="00C606F7">
        <w:rPr>
          <w:sz w:val="22"/>
          <w:szCs w:val="22"/>
        </w:rPr>
        <w:t xml:space="preserve">unicipal waste combustor acid gases measured as </w:t>
      </w:r>
      <w:r w:rsidR="00C606F7" w:rsidRPr="00C606F7">
        <w:rPr>
          <w:sz w:val="22"/>
          <w:szCs w:val="22"/>
        </w:rPr>
        <w:t>SO</w:t>
      </w:r>
      <w:r w:rsidR="00C606F7" w:rsidRPr="00C606F7">
        <w:rPr>
          <w:sz w:val="22"/>
          <w:szCs w:val="22"/>
          <w:vertAlign w:val="subscript"/>
        </w:rPr>
        <w:t>2</w:t>
      </w:r>
      <w:r w:rsidR="000F3615" w:rsidRPr="00C606F7">
        <w:rPr>
          <w:sz w:val="22"/>
          <w:szCs w:val="22"/>
        </w:rPr>
        <w:t xml:space="preserve"> and hydrogen chloride</w:t>
      </w:r>
      <w:r w:rsidR="00C606F7" w:rsidRPr="00C606F7">
        <w:rPr>
          <w:sz w:val="22"/>
          <w:szCs w:val="22"/>
        </w:rPr>
        <w:t xml:space="preserve"> (HCl</w:t>
      </w:r>
      <w:r w:rsidR="000F3615" w:rsidRPr="00C606F7">
        <w:rPr>
          <w:sz w:val="22"/>
          <w:szCs w:val="22"/>
        </w:rPr>
        <w:t xml:space="preserve">); </w:t>
      </w:r>
      <w:r w:rsidR="00C606F7" w:rsidRPr="00C606F7">
        <w:rPr>
          <w:sz w:val="22"/>
          <w:szCs w:val="22"/>
        </w:rPr>
        <w:t>m</w:t>
      </w:r>
      <w:r w:rsidR="000F3615" w:rsidRPr="00C606F7">
        <w:rPr>
          <w:sz w:val="22"/>
          <w:szCs w:val="22"/>
        </w:rPr>
        <w:t>unicipal solid waste landfills emissions measured as nonmethane organic compounds</w:t>
      </w:r>
      <w:r w:rsidR="00C606F7" w:rsidRPr="00C606F7">
        <w:rPr>
          <w:sz w:val="22"/>
          <w:szCs w:val="22"/>
        </w:rPr>
        <w:t xml:space="preserve"> (NMOC</w:t>
      </w:r>
      <w:r w:rsidR="000F3615" w:rsidRPr="00C606F7">
        <w:rPr>
          <w:sz w:val="22"/>
          <w:szCs w:val="22"/>
        </w:rPr>
        <w:t>)</w:t>
      </w:r>
      <w:r w:rsidR="00C606F7" w:rsidRPr="00C606F7">
        <w:rPr>
          <w:sz w:val="22"/>
          <w:szCs w:val="22"/>
        </w:rPr>
        <w:t>; and m</w:t>
      </w:r>
      <w:r w:rsidR="000F3615" w:rsidRPr="00C606F7">
        <w:rPr>
          <w:sz w:val="22"/>
          <w:szCs w:val="22"/>
        </w:rPr>
        <w:t>ercury</w:t>
      </w:r>
      <w:r w:rsidR="00C606F7" w:rsidRPr="00C606F7">
        <w:rPr>
          <w:sz w:val="22"/>
          <w:szCs w:val="22"/>
        </w:rPr>
        <w:t xml:space="preserve"> (Hg).</w:t>
      </w:r>
    </w:p>
    <w:p w:rsidR="00975EF6" w:rsidRDefault="00975EF6" w:rsidP="00975EF6">
      <w:pPr>
        <w:widowControl w:val="0"/>
        <w:spacing w:after="120"/>
        <w:rPr>
          <w:rFonts w:eastAsia="Calibri"/>
          <w:sz w:val="22"/>
          <w:szCs w:val="22"/>
        </w:rPr>
      </w:pPr>
      <w:r>
        <w:rPr>
          <w:sz w:val="22"/>
          <w:szCs w:val="22"/>
        </w:rPr>
        <w:t xml:space="preserve">Once it is determined that a facility is a PSD major source, PSD applicability for any project at the facility is based on emissions thresholds known as the “significant emission rates” (SER) as defined in Rule 62-210.200(Definitions), F.A.C.  Emissions of PSD pollutants from the project meet or exceed these rates are considered “significant” and the Best Available Control Technology (BACT) must be employed to minimize emissions of each PSD pollutant.  Although a facility may be “major” for only one PSD pollutant, a project must include BACT controls for any PSD pollutant that equals or exceeds the corresponding SER.  </w:t>
      </w:r>
      <w:r>
        <w:rPr>
          <w:rFonts w:eastAsia="Calibri"/>
          <w:sz w:val="22"/>
          <w:szCs w:val="22"/>
        </w:rPr>
        <w:t xml:space="preserve">SER threshold by pollutants are given in </w:t>
      </w:r>
      <w:r w:rsidRPr="00975EF6">
        <w:rPr>
          <w:rFonts w:eastAsia="Calibri"/>
          <w:b/>
          <w:sz w:val="22"/>
          <w:szCs w:val="22"/>
        </w:rPr>
        <w:fldChar w:fldCharType="begin"/>
      </w:r>
      <w:r w:rsidRPr="00975EF6">
        <w:rPr>
          <w:rFonts w:eastAsia="Calibri"/>
          <w:sz w:val="22"/>
          <w:szCs w:val="22"/>
        </w:rPr>
        <w:instrText xml:space="preserve"> REF _Ref477949696 \h </w:instrText>
      </w:r>
      <w:r>
        <w:rPr>
          <w:rFonts w:eastAsia="Calibri"/>
          <w:b/>
          <w:sz w:val="22"/>
          <w:szCs w:val="22"/>
        </w:rPr>
        <w:instrText xml:space="preserve"> \* MERGEFORMAT </w:instrText>
      </w:r>
      <w:r w:rsidRPr="00975EF6">
        <w:rPr>
          <w:rFonts w:eastAsia="Calibri"/>
          <w:b/>
          <w:sz w:val="22"/>
          <w:szCs w:val="22"/>
        </w:rPr>
      </w:r>
      <w:r w:rsidRPr="00975EF6">
        <w:rPr>
          <w:rFonts w:eastAsia="Calibri"/>
          <w:b/>
          <w:sz w:val="22"/>
          <w:szCs w:val="22"/>
        </w:rPr>
        <w:fldChar w:fldCharType="separate"/>
      </w:r>
      <w:r w:rsidR="005A4C55" w:rsidRPr="005A4C55">
        <w:rPr>
          <w:rFonts w:ascii="Times New Roman Bold" w:hAnsi="Times New Roman Bold"/>
          <w:b/>
          <w:sz w:val="22"/>
        </w:rPr>
        <w:t xml:space="preserve">Table </w:t>
      </w:r>
      <w:r w:rsidR="005A4C55" w:rsidRPr="005A4C55">
        <w:rPr>
          <w:rFonts w:ascii="Times New Roman Bold" w:hAnsi="Times New Roman Bold"/>
          <w:b/>
          <w:noProof/>
          <w:sz w:val="22"/>
        </w:rPr>
        <w:t>2</w:t>
      </w:r>
      <w:r w:rsidRPr="00975EF6">
        <w:rPr>
          <w:rFonts w:eastAsia="Calibri"/>
          <w:b/>
          <w:sz w:val="22"/>
          <w:szCs w:val="22"/>
        </w:rPr>
        <w:fldChar w:fldCharType="end"/>
      </w:r>
      <w:r>
        <w:rPr>
          <w:rFonts w:eastAsia="Calibri"/>
          <w:sz w:val="22"/>
          <w:szCs w:val="22"/>
        </w:rPr>
        <w:t>.</w:t>
      </w:r>
    </w:p>
    <w:p w:rsidR="00975EF6" w:rsidRDefault="00975EF6" w:rsidP="00975EF6">
      <w:pPr>
        <w:spacing w:after="120"/>
        <w:jc w:val="center"/>
        <w:rPr>
          <w:rFonts w:ascii="Times New Roman Bold" w:hAnsi="Times New Roman Bold"/>
          <w:b/>
          <w:caps/>
          <w:sz w:val="22"/>
        </w:rPr>
      </w:pPr>
      <w:bookmarkStart w:id="10" w:name="_Ref477949696"/>
      <w:r>
        <w:rPr>
          <w:rFonts w:ascii="Times New Roman Bold" w:hAnsi="Times New Roman Bold"/>
          <w:b/>
          <w:caps/>
          <w:sz w:val="22"/>
        </w:rPr>
        <w:t xml:space="preserve">Table </w:t>
      </w:r>
      <w:r>
        <w:fldChar w:fldCharType="begin"/>
      </w:r>
      <w:r>
        <w:rPr>
          <w:rFonts w:ascii="Times New Roman Bold" w:hAnsi="Times New Roman Bold"/>
          <w:b/>
          <w:caps/>
          <w:sz w:val="22"/>
        </w:rPr>
        <w:instrText xml:space="preserve"> SEQ Table \* ARABIC </w:instrText>
      </w:r>
      <w:r>
        <w:fldChar w:fldCharType="separate"/>
      </w:r>
      <w:r w:rsidR="00CF4EEA">
        <w:rPr>
          <w:rFonts w:ascii="Times New Roman Bold" w:hAnsi="Times New Roman Bold"/>
          <w:b/>
          <w:caps/>
          <w:noProof/>
          <w:sz w:val="22"/>
        </w:rPr>
        <w:t>2</w:t>
      </w:r>
      <w:r>
        <w:fldChar w:fldCharType="end"/>
      </w:r>
      <w:bookmarkEnd w:id="10"/>
      <w:r>
        <w:rPr>
          <w:rFonts w:ascii="Times New Roman Bold" w:hAnsi="Times New Roman Bold"/>
          <w:b/>
          <w:caps/>
          <w:sz w:val="22"/>
        </w:rPr>
        <w:t xml:space="preserve"> – List of SER by PSD Pollutant.</w:t>
      </w:r>
    </w:p>
    <w:tbl>
      <w:tblPr>
        <w:tblW w:w="90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75"/>
        <w:gridCol w:w="1620"/>
        <w:gridCol w:w="2521"/>
        <w:gridCol w:w="3044"/>
      </w:tblGrid>
      <w:tr w:rsidR="00975EF6" w:rsidTr="0095034B">
        <w:trPr>
          <w:trHeight w:val="290"/>
          <w:jc w:val="center"/>
        </w:trPr>
        <w:tc>
          <w:tcPr>
            <w:tcW w:w="1875" w:type="dxa"/>
            <w:tcBorders>
              <w:top w:val="single" w:sz="12" w:space="0" w:color="auto"/>
              <w:left w:val="single" w:sz="12" w:space="0" w:color="auto"/>
              <w:bottom w:val="single" w:sz="4" w:space="0" w:color="auto"/>
              <w:right w:val="single" w:sz="4"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b/>
                <w:color w:val="000000"/>
              </w:rPr>
            </w:pPr>
            <w:r>
              <w:rPr>
                <w:b/>
                <w:color w:val="000000"/>
              </w:rPr>
              <w:t>Pollutant</w:t>
            </w:r>
          </w:p>
        </w:tc>
        <w:tc>
          <w:tcPr>
            <w:tcW w:w="1620" w:type="dxa"/>
            <w:tcBorders>
              <w:top w:val="single" w:sz="12" w:space="0" w:color="auto"/>
              <w:left w:val="single" w:sz="4" w:space="0" w:color="auto"/>
              <w:bottom w:val="single" w:sz="4" w:space="0" w:color="auto"/>
              <w:right w:val="single" w:sz="4"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b/>
                <w:color w:val="000000"/>
              </w:rPr>
            </w:pPr>
            <w:r>
              <w:rPr>
                <w:b/>
                <w:color w:val="000000"/>
              </w:rPr>
              <w:t>SER (TPY)</w:t>
            </w:r>
          </w:p>
        </w:tc>
        <w:tc>
          <w:tcPr>
            <w:tcW w:w="2520" w:type="dxa"/>
            <w:tcBorders>
              <w:top w:val="single" w:sz="12" w:space="0" w:color="auto"/>
              <w:left w:val="single" w:sz="4" w:space="0" w:color="auto"/>
              <w:bottom w:val="single" w:sz="4" w:space="0" w:color="auto"/>
              <w:right w:val="single" w:sz="4"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b/>
                <w:color w:val="000000"/>
              </w:rPr>
            </w:pPr>
            <w:r>
              <w:rPr>
                <w:b/>
                <w:color w:val="000000"/>
              </w:rPr>
              <w:t>Pollutant</w:t>
            </w:r>
          </w:p>
        </w:tc>
        <w:tc>
          <w:tcPr>
            <w:tcW w:w="3043" w:type="dxa"/>
            <w:tcBorders>
              <w:top w:val="single" w:sz="12" w:space="0" w:color="auto"/>
              <w:left w:val="single" w:sz="4" w:space="0" w:color="auto"/>
              <w:bottom w:val="single" w:sz="4" w:space="0" w:color="auto"/>
              <w:right w:val="single" w:sz="12"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b/>
                <w:color w:val="000000"/>
              </w:rPr>
            </w:pPr>
            <w:r>
              <w:rPr>
                <w:b/>
                <w:color w:val="000000"/>
              </w:rPr>
              <w:t>SER (TPY)</w:t>
            </w:r>
          </w:p>
        </w:tc>
      </w:tr>
      <w:tr w:rsidR="00975EF6" w:rsidTr="0095034B">
        <w:trPr>
          <w:trHeight w:val="264"/>
          <w:jc w:val="center"/>
        </w:trPr>
        <w:tc>
          <w:tcPr>
            <w:tcW w:w="1875" w:type="dxa"/>
            <w:tcBorders>
              <w:top w:val="single" w:sz="4" w:space="0" w:color="auto"/>
              <w:left w:val="single" w:sz="12"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CO</w:t>
            </w:r>
          </w:p>
        </w:tc>
        <w:tc>
          <w:tcPr>
            <w:tcW w:w="1620" w:type="dxa"/>
            <w:tcBorders>
              <w:top w:val="single" w:sz="4" w:space="0" w:color="auto"/>
              <w:left w:val="single" w:sz="4" w:space="0" w:color="auto"/>
              <w:bottom w:val="single" w:sz="6" w:space="0" w:color="000000"/>
              <w:right w:val="single" w:sz="4"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100</w:t>
            </w:r>
          </w:p>
        </w:tc>
        <w:tc>
          <w:tcPr>
            <w:tcW w:w="2520" w:type="dxa"/>
            <w:tcBorders>
              <w:top w:val="single" w:sz="4" w:space="0" w:color="auto"/>
              <w:left w:val="single" w:sz="4"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NO</w:t>
            </w:r>
            <w:r>
              <w:rPr>
                <w:color w:val="000000"/>
                <w:vertAlign w:val="subscript"/>
              </w:rPr>
              <w:t>X</w:t>
            </w:r>
          </w:p>
        </w:tc>
        <w:tc>
          <w:tcPr>
            <w:tcW w:w="3043" w:type="dxa"/>
            <w:tcBorders>
              <w:top w:val="single" w:sz="4" w:space="0" w:color="auto"/>
              <w:left w:val="single" w:sz="4" w:space="0" w:color="auto"/>
              <w:bottom w:val="single" w:sz="6" w:space="0" w:color="000000"/>
              <w:right w:val="single" w:sz="12"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40</w:t>
            </w:r>
          </w:p>
        </w:tc>
      </w:tr>
      <w:tr w:rsidR="00975EF6" w:rsidTr="0095034B">
        <w:trPr>
          <w:trHeight w:val="264"/>
          <w:jc w:val="center"/>
        </w:trPr>
        <w:tc>
          <w:tcPr>
            <w:tcW w:w="1875" w:type="dxa"/>
            <w:tcBorders>
              <w:top w:val="single" w:sz="6" w:space="0" w:color="000000"/>
              <w:left w:val="single" w:sz="12"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PM/PM</w:t>
            </w:r>
            <w:r>
              <w:rPr>
                <w:vertAlign w:val="subscript"/>
              </w:rPr>
              <w:t>10</w:t>
            </w:r>
            <w:r>
              <w:rPr>
                <w:color w:val="000000"/>
              </w:rPr>
              <w:t>/PM</w:t>
            </w:r>
            <w:r>
              <w:rPr>
                <w:color w:val="000000"/>
                <w:vertAlign w:val="subscript"/>
              </w:rPr>
              <w:t>2.5</w:t>
            </w:r>
          </w:p>
        </w:tc>
        <w:tc>
          <w:tcPr>
            <w:tcW w:w="1620" w:type="dxa"/>
            <w:tcBorders>
              <w:top w:val="single" w:sz="6" w:space="0" w:color="000000"/>
              <w:left w:val="single" w:sz="4" w:space="0" w:color="auto"/>
              <w:bottom w:val="single" w:sz="6" w:space="0" w:color="000000"/>
              <w:right w:val="single" w:sz="4"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25/15/10</w:t>
            </w:r>
          </w:p>
        </w:tc>
        <w:tc>
          <w:tcPr>
            <w:tcW w:w="2520" w:type="dxa"/>
            <w:tcBorders>
              <w:top w:val="single" w:sz="6" w:space="0" w:color="000000"/>
              <w:left w:val="single" w:sz="4"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 xml:space="preserve">Ozone (VOC) </w:t>
            </w:r>
            <w:r>
              <w:rPr>
                <w:b/>
                <w:color w:val="000000"/>
                <w:vertAlign w:val="superscript"/>
              </w:rPr>
              <w:t>2</w:t>
            </w:r>
          </w:p>
        </w:tc>
        <w:tc>
          <w:tcPr>
            <w:tcW w:w="3043" w:type="dxa"/>
            <w:tcBorders>
              <w:top w:val="single" w:sz="6" w:space="0" w:color="000000"/>
              <w:left w:val="single" w:sz="4" w:space="0" w:color="auto"/>
              <w:bottom w:val="single" w:sz="6" w:space="0" w:color="000000"/>
              <w:right w:val="single" w:sz="12"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40</w:t>
            </w:r>
          </w:p>
        </w:tc>
      </w:tr>
      <w:tr w:rsidR="00975EF6" w:rsidTr="0095034B">
        <w:trPr>
          <w:trHeight w:val="264"/>
          <w:jc w:val="center"/>
        </w:trPr>
        <w:tc>
          <w:tcPr>
            <w:tcW w:w="1875" w:type="dxa"/>
            <w:tcBorders>
              <w:top w:val="single" w:sz="6" w:space="0" w:color="000000"/>
              <w:left w:val="single" w:sz="12"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PM</w:t>
            </w:r>
            <w:r>
              <w:rPr>
                <w:color w:val="000000"/>
                <w:vertAlign w:val="subscript"/>
              </w:rPr>
              <w:t>2.5</w:t>
            </w:r>
            <w:r>
              <w:rPr>
                <w:color w:val="000000"/>
              </w:rPr>
              <w:t xml:space="preserve"> (NO</w:t>
            </w:r>
            <w:r>
              <w:rPr>
                <w:vertAlign w:val="subscript"/>
              </w:rPr>
              <w:t>X</w:t>
            </w:r>
            <w:r>
              <w:rPr>
                <w:color w:val="000000"/>
              </w:rPr>
              <w:t>)</w:t>
            </w:r>
          </w:p>
        </w:tc>
        <w:tc>
          <w:tcPr>
            <w:tcW w:w="1620" w:type="dxa"/>
            <w:tcBorders>
              <w:top w:val="single" w:sz="6" w:space="0" w:color="000000"/>
              <w:left w:val="single" w:sz="4" w:space="0" w:color="auto"/>
              <w:bottom w:val="single" w:sz="6" w:space="0" w:color="000000"/>
              <w:right w:val="single" w:sz="4"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40</w:t>
            </w:r>
          </w:p>
        </w:tc>
        <w:tc>
          <w:tcPr>
            <w:tcW w:w="2520" w:type="dxa"/>
            <w:tcBorders>
              <w:top w:val="single" w:sz="6" w:space="0" w:color="000000"/>
              <w:left w:val="single" w:sz="4"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PM</w:t>
            </w:r>
            <w:r>
              <w:rPr>
                <w:color w:val="000000"/>
                <w:vertAlign w:val="subscript"/>
              </w:rPr>
              <w:t>2.5</w:t>
            </w:r>
            <w:r>
              <w:rPr>
                <w:color w:val="000000"/>
              </w:rPr>
              <w:t xml:space="preserve"> (SO</w:t>
            </w:r>
            <w:r>
              <w:rPr>
                <w:vertAlign w:val="subscript"/>
              </w:rPr>
              <w:t>2</w:t>
            </w:r>
            <w:r>
              <w:rPr>
                <w:color w:val="000000"/>
              </w:rPr>
              <w:t>)</w:t>
            </w:r>
          </w:p>
        </w:tc>
        <w:tc>
          <w:tcPr>
            <w:tcW w:w="3043" w:type="dxa"/>
            <w:tcBorders>
              <w:top w:val="single" w:sz="6" w:space="0" w:color="000000"/>
              <w:left w:val="single" w:sz="4" w:space="0" w:color="auto"/>
              <w:bottom w:val="single" w:sz="6" w:space="0" w:color="000000"/>
              <w:right w:val="single" w:sz="12"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40</w:t>
            </w:r>
          </w:p>
        </w:tc>
      </w:tr>
      <w:tr w:rsidR="00975EF6" w:rsidTr="0095034B">
        <w:trPr>
          <w:trHeight w:val="246"/>
          <w:jc w:val="center"/>
        </w:trPr>
        <w:tc>
          <w:tcPr>
            <w:tcW w:w="1875" w:type="dxa"/>
            <w:tcBorders>
              <w:top w:val="single" w:sz="6" w:space="0" w:color="000000"/>
              <w:left w:val="single" w:sz="12"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Ozone (NO</w:t>
            </w:r>
            <w:r>
              <w:rPr>
                <w:vertAlign w:val="subscript"/>
              </w:rPr>
              <w:t>X</w:t>
            </w:r>
            <w:r>
              <w:rPr>
                <w:color w:val="000000"/>
              </w:rPr>
              <w:t xml:space="preserve">) </w:t>
            </w:r>
            <w:r>
              <w:rPr>
                <w:b/>
                <w:color w:val="000000"/>
                <w:vertAlign w:val="superscript"/>
              </w:rPr>
              <w:t>2</w:t>
            </w:r>
          </w:p>
        </w:tc>
        <w:tc>
          <w:tcPr>
            <w:tcW w:w="1620" w:type="dxa"/>
            <w:tcBorders>
              <w:top w:val="single" w:sz="6" w:space="0" w:color="000000"/>
              <w:left w:val="single" w:sz="4" w:space="0" w:color="auto"/>
              <w:bottom w:val="single" w:sz="6" w:space="0" w:color="000000"/>
              <w:right w:val="single" w:sz="4"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40</w:t>
            </w:r>
          </w:p>
        </w:tc>
        <w:tc>
          <w:tcPr>
            <w:tcW w:w="2520" w:type="dxa"/>
            <w:tcBorders>
              <w:top w:val="single" w:sz="6" w:space="0" w:color="000000"/>
              <w:left w:val="single" w:sz="4"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Sulfuric Acid Mist (SAM)</w:t>
            </w:r>
          </w:p>
        </w:tc>
        <w:tc>
          <w:tcPr>
            <w:tcW w:w="3043" w:type="dxa"/>
            <w:tcBorders>
              <w:top w:val="single" w:sz="6" w:space="0" w:color="000000"/>
              <w:left w:val="single" w:sz="4" w:space="0" w:color="auto"/>
              <w:bottom w:val="single" w:sz="6" w:space="0" w:color="000000"/>
              <w:right w:val="single" w:sz="12"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7</w:t>
            </w:r>
          </w:p>
        </w:tc>
      </w:tr>
      <w:tr w:rsidR="00975EF6" w:rsidTr="0095034B">
        <w:trPr>
          <w:trHeight w:val="255"/>
          <w:jc w:val="center"/>
        </w:trPr>
        <w:tc>
          <w:tcPr>
            <w:tcW w:w="1875" w:type="dxa"/>
            <w:tcBorders>
              <w:top w:val="single" w:sz="6" w:space="0" w:color="000000"/>
              <w:left w:val="single" w:sz="12"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SO</w:t>
            </w:r>
            <w:r>
              <w:rPr>
                <w:color w:val="000000"/>
                <w:vertAlign w:val="subscript"/>
              </w:rPr>
              <w:t>2</w:t>
            </w:r>
          </w:p>
        </w:tc>
        <w:tc>
          <w:tcPr>
            <w:tcW w:w="1620" w:type="dxa"/>
            <w:tcBorders>
              <w:top w:val="single" w:sz="6" w:space="0" w:color="000000"/>
              <w:left w:val="single" w:sz="4" w:space="0" w:color="auto"/>
              <w:bottom w:val="single" w:sz="6" w:space="0" w:color="000000"/>
              <w:right w:val="single" w:sz="4"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40</w:t>
            </w:r>
          </w:p>
        </w:tc>
        <w:tc>
          <w:tcPr>
            <w:tcW w:w="2520" w:type="dxa"/>
            <w:tcBorders>
              <w:top w:val="single" w:sz="6" w:space="0" w:color="000000"/>
              <w:left w:val="single" w:sz="4"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Lead (Pb)</w:t>
            </w:r>
          </w:p>
        </w:tc>
        <w:tc>
          <w:tcPr>
            <w:tcW w:w="3043" w:type="dxa"/>
            <w:tcBorders>
              <w:top w:val="single" w:sz="6" w:space="0" w:color="000000"/>
              <w:left w:val="single" w:sz="4" w:space="0" w:color="auto"/>
              <w:bottom w:val="single" w:sz="6" w:space="0" w:color="000000"/>
              <w:right w:val="single" w:sz="12"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0.6</w:t>
            </w:r>
          </w:p>
        </w:tc>
      </w:tr>
      <w:tr w:rsidR="00975EF6" w:rsidTr="0095034B">
        <w:trPr>
          <w:trHeight w:val="255"/>
          <w:jc w:val="center"/>
        </w:trPr>
        <w:tc>
          <w:tcPr>
            <w:tcW w:w="1875" w:type="dxa"/>
            <w:tcBorders>
              <w:top w:val="single" w:sz="6" w:space="0" w:color="000000"/>
              <w:left w:val="single" w:sz="12"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Hg</w:t>
            </w:r>
          </w:p>
        </w:tc>
        <w:tc>
          <w:tcPr>
            <w:tcW w:w="1620" w:type="dxa"/>
            <w:tcBorders>
              <w:top w:val="single" w:sz="6" w:space="0" w:color="000000"/>
              <w:left w:val="single" w:sz="4" w:space="0" w:color="auto"/>
              <w:bottom w:val="single" w:sz="6" w:space="0" w:color="000000"/>
              <w:right w:val="single" w:sz="4"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 xml:space="preserve">0.1 </w:t>
            </w:r>
          </w:p>
        </w:tc>
        <w:tc>
          <w:tcPr>
            <w:tcW w:w="2520" w:type="dxa"/>
            <w:tcBorders>
              <w:top w:val="single" w:sz="6" w:space="0" w:color="000000"/>
              <w:left w:val="single" w:sz="4" w:space="0" w:color="auto"/>
              <w:bottom w:val="single" w:sz="6" w:space="0" w:color="000000"/>
              <w:right w:val="single" w:sz="4" w:space="0" w:color="auto"/>
            </w:tcBorders>
            <w:vAlign w:val="center"/>
            <w:hideMark/>
          </w:tcPr>
          <w:p w:rsidR="00975EF6" w:rsidRDefault="00975EF6" w:rsidP="0095034B">
            <w:pPr>
              <w:autoSpaceDE w:val="0"/>
              <w:autoSpaceDN w:val="0"/>
              <w:adjustRightInd w:val="0"/>
              <w:spacing w:before="20" w:after="20"/>
              <w:jc w:val="center"/>
              <w:rPr>
                <w:color w:val="000000"/>
              </w:rPr>
            </w:pPr>
            <w:r>
              <w:rPr>
                <w:color w:val="000000"/>
              </w:rPr>
              <w:t>GHG</w:t>
            </w:r>
          </w:p>
        </w:tc>
        <w:tc>
          <w:tcPr>
            <w:tcW w:w="3043" w:type="dxa"/>
            <w:tcBorders>
              <w:top w:val="single" w:sz="6" w:space="0" w:color="000000"/>
              <w:left w:val="single" w:sz="4" w:space="0" w:color="auto"/>
              <w:bottom w:val="single" w:sz="6" w:space="0" w:color="000000"/>
              <w:right w:val="single" w:sz="12" w:space="0" w:color="auto"/>
            </w:tcBorders>
            <w:shd w:val="clear" w:color="auto" w:fill="C6D9F1" w:themeFill="text2" w:themeFillTint="33"/>
            <w:vAlign w:val="center"/>
            <w:hideMark/>
          </w:tcPr>
          <w:p w:rsidR="00975EF6" w:rsidRDefault="00975EF6" w:rsidP="0095034B">
            <w:pPr>
              <w:autoSpaceDE w:val="0"/>
              <w:autoSpaceDN w:val="0"/>
              <w:adjustRightInd w:val="0"/>
              <w:spacing w:before="20" w:after="20"/>
              <w:jc w:val="center"/>
              <w:rPr>
                <w:color w:val="000000"/>
              </w:rPr>
            </w:pPr>
            <w:r>
              <w:rPr>
                <w:color w:val="000000"/>
              </w:rPr>
              <w:t>75,000 (CO</w:t>
            </w:r>
            <w:r>
              <w:rPr>
                <w:color w:val="000000"/>
                <w:vertAlign w:val="subscript"/>
              </w:rPr>
              <w:t>2</w:t>
            </w:r>
            <w:r>
              <w:rPr>
                <w:color w:val="000000"/>
              </w:rPr>
              <w:t xml:space="preserve">e) </w:t>
            </w:r>
            <w:r>
              <w:rPr>
                <w:b/>
                <w:color w:val="000000"/>
                <w:vertAlign w:val="superscript"/>
              </w:rPr>
              <w:t>3</w:t>
            </w:r>
          </w:p>
        </w:tc>
      </w:tr>
      <w:tr w:rsidR="00975EF6" w:rsidTr="0095034B">
        <w:trPr>
          <w:trHeight w:val="311"/>
          <w:jc w:val="center"/>
        </w:trPr>
        <w:tc>
          <w:tcPr>
            <w:tcW w:w="9058" w:type="dxa"/>
            <w:gridSpan w:val="4"/>
            <w:tcBorders>
              <w:top w:val="single" w:sz="4" w:space="0" w:color="auto"/>
              <w:left w:val="single" w:sz="12" w:space="0" w:color="auto"/>
              <w:bottom w:val="single" w:sz="12" w:space="0" w:color="auto"/>
              <w:right w:val="single" w:sz="12" w:space="0" w:color="auto"/>
            </w:tcBorders>
            <w:hideMark/>
          </w:tcPr>
          <w:p w:rsidR="00975EF6" w:rsidRDefault="00975EF6" w:rsidP="00975EF6">
            <w:pPr>
              <w:numPr>
                <w:ilvl w:val="0"/>
                <w:numId w:val="23"/>
              </w:numPr>
              <w:tabs>
                <w:tab w:val="num" w:pos="342"/>
              </w:tabs>
              <w:autoSpaceDE w:val="0"/>
              <w:autoSpaceDN w:val="0"/>
              <w:adjustRightInd w:val="0"/>
              <w:spacing w:before="20"/>
              <w:ind w:left="342" w:hanging="328"/>
              <w:rPr>
                <w:color w:val="000000"/>
                <w:sz w:val="16"/>
                <w:szCs w:val="16"/>
              </w:rPr>
            </w:pPr>
            <w:r>
              <w:rPr>
                <w:color w:val="000000"/>
                <w:sz w:val="16"/>
                <w:szCs w:val="16"/>
              </w:rPr>
              <w:t>Excluding fluoride and those pollutants defined for Pulp and Paper, MWC, MSW landfills.</w:t>
            </w:r>
          </w:p>
          <w:p w:rsidR="00975EF6" w:rsidRPr="00590090" w:rsidRDefault="00975EF6" w:rsidP="00975EF6">
            <w:pPr>
              <w:numPr>
                <w:ilvl w:val="0"/>
                <w:numId w:val="23"/>
              </w:numPr>
              <w:tabs>
                <w:tab w:val="num" w:pos="342"/>
              </w:tabs>
              <w:autoSpaceDE w:val="0"/>
              <w:autoSpaceDN w:val="0"/>
              <w:adjustRightInd w:val="0"/>
              <w:ind w:left="342" w:hanging="328"/>
              <w:rPr>
                <w:color w:val="000000"/>
                <w:sz w:val="16"/>
                <w:szCs w:val="16"/>
              </w:rPr>
            </w:pPr>
            <w:r>
              <w:rPr>
                <w:color w:val="000000"/>
                <w:sz w:val="16"/>
                <w:szCs w:val="16"/>
              </w:rPr>
              <w:t>Ozone (O</w:t>
            </w:r>
            <w:r>
              <w:rPr>
                <w:color w:val="000000"/>
                <w:sz w:val="16"/>
                <w:szCs w:val="16"/>
                <w:vertAlign w:val="subscript"/>
              </w:rPr>
              <w:t>3</w:t>
            </w:r>
            <w:r>
              <w:rPr>
                <w:color w:val="000000"/>
                <w:sz w:val="16"/>
                <w:szCs w:val="16"/>
              </w:rPr>
              <w:t>) is regulated by its precursors (VOC and NO</w:t>
            </w:r>
            <w:r>
              <w:rPr>
                <w:color w:val="000000"/>
                <w:sz w:val="16"/>
                <w:szCs w:val="16"/>
                <w:vertAlign w:val="subscript"/>
              </w:rPr>
              <w:t>X</w:t>
            </w:r>
            <w:r>
              <w:rPr>
                <w:color w:val="000000"/>
                <w:sz w:val="16"/>
                <w:szCs w:val="16"/>
              </w:rPr>
              <w:t>).  PSD for PM</w:t>
            </w:r>
            <w:r>
              <w:rPr>
                <w:color w:val="000000"/>
                <w:sz w:val="16"/>
                <w:szCs w:val="16"/>
                <w:vertAlign w:val="subscript"/>
              </w:rPr>
              <w:t>2.5</w:t>
            </w:r>
            <w:r>
              <w:rPr>
                <w:color w:val="000000"/>
                <w:sz w:val="16"/>
                <w:szCs w:val="16"/>
              </w:rPr>
              <w:t xml:space="preserve"> can be triggered by its precursors (NO</w:t>
            </w:r>
            <w:r>
              <w:rPr>
                <w:color w:val="000000"/>
                <w:sz w:val="16"/>
                <w:szCs w:val="16"/>
                <w:vertAlign w:val="subscript"/>
              </w:rPr>
              <w:t>X</w:t>
            </w:r>
            <w:r>
              <w:rPr>
                <w:color w:val="000000"/>
                <w:sz w:val="16"/>
                <w:szCs w:val="16"/>
              </w:rPr>
              <w:t xml:space="preserve"> and SO</w:t>
            </w:r>
            <w:r>
              <w:rPr>
                <w:color w:val="000000"/>
                <w:sz w:val="16"/>
                <w:szCs w:val="16"/>
                <w:vertAlign w:val="subscript"/>
              </w:rPr>
              <w:t>2</w:t>
            </w:r>
            <w:r>
              <w:rPr>
                <w:color w:val="000000"/>
                <w:sz w:val="16"/>
                <w:szCs w:val="16"/>
              </w:rPr>
              <w:t>).</w:t>
            </w:r>
          </w:p>
          <w:p w:rsidR="00975EF6" w:rsidRDefault="00975EF6" w:rsidP="00975EF6">
            <w:pPr>
              <w:keepNext/>
              <w:numPr>
                <w:ilvl w:val="0"/>
                <w:numId w:val="23"/>
              </w:numPr>
              <w:tabs>
                <w:tab w:val="num" w:pos="342"/>
              </w:tabs>
              <w:autoSpaceDE w:val="0"/>
              <w:autoSpaceDN w:val="0"/>
              <w:adjustRightInd w:val="0"/>
              <w:spacing w:after="20"/>
              <w:ind w:left="342" w:hanging="328"/>
              <w:outlineLvl w:val="0"/>
              <w:rPr>
                <w:color w:val="000000"/>
                <w:sz w:val="18"/>
                <w:szCs w:val="18"/>
              </w:rPr>
            </w:pPr>
            <w:r>
              <w:rPr>
                <w:rFonts w:eastAsia="Calibri"/>
                <w:sz w:val="16"/>
                <w:szCs w:val="16"/>
              </w:rPr>
              <w:t>In making the CO</w:t>
            </w:r>
            <w:r>
              <w:rPr>
                <w:rFonts w:eastAsia="Calibri"/>
                <w:sz w:val="16"/>
                <w:szCs w:val="16"/>
                <w:vertAlign w:val="subscript"/>
              </w:rPr>
              <w:t>2</w:t>
            </w:r>
            <w:r>
              <w:rPr>
                <w:rFonts w:eastAsia="Calibri"/>
                <w:sz w:val="16"/>
                <w:szCs w:val="16"/>
              </w:rPr>
              <w:t xml:space="preserve">e calculation, the </w:t>
            </w:r>
            <w:r>
              <w:rPr>
                <w:sz w:val="16"/>
                <w:szCs w:val="16"/>
              </w:rPr>
              <w:t>values listed in 40 CFR 98, Subpart A, Table A-1 are used to weight emissions by their respective Global Warming Potential (GWP).  For example, the current GWP factors for four of the GHGs are:  CO</w:t>
            </w:r>
            <w:r>
              <w:rPr>
                <w:sz w:val="16"/>
                <w:szCs w:val="16"/>
                <w:vertAlign w:val="subscript"/>
              </w:rPr>
              <w:t>2</w:t>
            </w:r>
            <w:r>
              <w:rPr>
                <w:sz w:val="16"/>
                <w:szCs w:val="16"/>
              </w:rPr>
              <w:t xml:space="preserve"> = 1; CH</w:t>
            </w:r>
            <w:r>
              <w:rPr>
                <w:sz w:val="16"/>
                <w:szCs w:val="16"/>
                <w:vertAlign w:val="subscript"/>
              </w:rPr>
              <w:t>4</w:t>
            </w:r>
            <w:r>
              <w:rPr>
                <w:sz w:val="16"/>
                <w:szCs w:val="16"/>
              </w:rPr>
              <w:t xml:space="preserve"> = 25; N</w:t>
            </w:r>
            <w:r>
              <w:rPr>
                <w:sz w:val="16"/>
                <w:szCs w:val="16"/>
                <w:vertAlign w:val="subscript"/>
              </w:rPr>
              <w:t>2</w:t>
            </w:r>
            <w:r>
              <w:rPr>
                <w:sz w:val="16"/>
                <w:szCs w:val="16"/>
              </w:rPr>
              <w:t>O = 298 and SF</w:t>
            </w:r>
            <w:r>
              <w:rPr>
                <w:sz w:val="16"/>
                <w:szCs w:val="16"/>
                <w:vertAlign w:val="subscript"/>
              </w:rPr>
              <w:t>6</w:t>
            </w:r>
            <w:r>
              <w:rPr>
                <w:sz w:val="16"/>
                <w:szCs w:val="16"/>
              </w:rPr>
              <w:t xml:space="preserve"> = 22,800.  </w:t>
            </w:r>
          </w:p>
        </w:tc>
      </w:tr>
    </w:tbl>
    <w:p w:rsidR="002E3095" w:rsidRPr="00290299" w:rsidRDefault="002E3095" w:rsidP="00975EF6">
      <w:pPr>
        <w:pStyle w:val="BodyText"/>
        <w:widowControl w:val="0"/>
        <w:spacing w:before="120"/>
        <w:rPr>
          <w:sz w:val="22"/>
          <w:szCs w:val="22"/>
        </w:rPr>
      </w:pPr>
      <w:r w:rsidRPr="00290299">
        <w:rPr>
          <w:sz w:val="22"/>
          <w:szCs w:val="22"/>
        </w:rPr>
        <w:t>Rule 62-210.200, F.A.C. defines “BACT” as:</w:t>
      </w:r>
    </w:p>
    <w:p w:rsidR="002E3095" w:rsidRPr="00584D97" w:rsidRDefault="002E3095" w:rsidP="005325B9">
      <w:pPr>
        <w:pStyle w:val="BodyTextIndent"/>
        <w:widowControl w:val="0"/>
        <w:ind w:left="360"/>
        <w:rPr>
          <w:i/>
          <w:sz w:val="22"/>
          <w:szCs w:val="22"/>
        </w:rPr>
      </w:pPr>
      <w:r w:rsidRPr="00584D97">
        <w:rPr>
          <w:i/>
          <w:sz w:val="22"/>
          <w:szCs w:val="22"/>
        </w:rPr>
        <w:t xml:space="preserve">An emission limitation, including a visible emissions standard, based on the maximum degree of reduction of each pollutant emitted which the Department, on a case by case basis, taking into account: </w:t>
      </w:r>
    </w:p>
    <w:p w:rsidR="002E3095" w:rsidRPr="00584D97" w:rsidRDefault="002E3095" w:rsidP="00190915">
      <w:pPr>
        <w:pStyle w:val="Default"/>
        <w:widowControl w:val="0"/>
        <w:numPr>
          <w:ilvl w:val="0"/>
          <w:numId w:val="17"/>
        </w:numPr>
        <w:tabs>
          <w:tab w:val="left" w:pos="720"/>
        </w:tabs>
        <w:spacing w:after="120"/>
        <w:rPr>
          <w:i/>
          <w:sz w:val="22"/>
          <w:szCs w:val="22"/>
        </w:rPr>
      </w:pPr>
      <w:r w:rsidRPr="00584D97">
        <w:rPr>
          <w:i/>
          <w:sz w:val="22"/>
          <w:szCs w:val="22"/>
        </w:rPr>
        <w:t xml:space="preserve">Energy, environmental and economic impacts, and other costs; </w:t>
      </w:r>
    </w:p>
    <w:p w:rsidR="002E3095" w:rsidRPr="00584D97" w:rsidRDefault="002E3095" w:rsidP="00190915">
      <w:pPr>
        <w:pStyle w:val="Default"/>
        <w:widowControl w:val="0"/>
        <w:numPr>
          <w:ilvl w:val="0"/>
          <w:numId w:val="17"/>
        </w:numPr>
        <w:tabs>
          <w:tab w:val="left" w:pos="720"/>
        </w:tabs>
        <w:spacing w:after="120"/>
        <w:rPr>
          <w:i/>
          <w:sz w:val="22"/>
          <w:szCs w:val="22"/>
        </w:rPr>
      </w:pPr>
      <w:r w:rsidRPr="00584D97">
        <w:rPr>
          <w:i/>
          <w:sz w:val="22"/>
          <w:szCs w:val="22"/>
        </w:rPr>
        <w:t xml:space="preserve">All scientific, engineering, and technical material and other information available to the Department; and </w:t>
      </w:r>
    </w:p>
    <w:p w:rsidR="002E3095" w:rsidRPr="00584D97" w:rsidRDefault="002E3095" w:rsidP="00190915">
      <w:pPr>
        <w:pStyle w:val="Default"/>
        <w:widowControl w:val="0"/>
        <w:numPr>
          <w:ilvl w:val="0"/>
          <w:numId w:val="17"/>
        </w:numPr>
        <w:tabs>
          <w:tab w:val="left" w:pos="720"/>
        </w:tabs>
        <w:spacing w:after="120"/>
        <w:rPr>
          <w:i/>
          <w:sz w:val="22"/>
          <w:szCs w:val="22"/>
        </w:rPr>
      </w:pPr>
      <w:r w:rsidRPr="00584D97">
        <w:rPr>
          <w:i/>
          <w:sz w:val="22"/>
          <w:szCs w:val="22"/>
        </w:rPr>
        <w:t>The emission limiting standards or BACT determinations of Florida and any other state;</w:t>
      </w:r>
    </w:p>
    <w:p w:rsidR="002E3095" w:rsidRPr="00584D97" w:rsidRDefault="002E3095" w:rsidP="005325B9">
      <w:pPr>
        <w:pStyle w:val="Default"/>
        <w:widowControl w:val="0"/>
        <w:tabs>
          <w:tab w:val="left" w:pos="720"/>
        </w:tabs>
        <w:spacing w:after="120"/>
        <w:ind w:left="360"/>
        <w:rPr>
          <w:i/>
          <w:sz w:val="22"/>
          <w:szCs w:val="22"/>
        </w:rPr>
      </w:pPr>
      <w:r w:rsidRPr="00584D97">
        <w:rPr>
          <w:i/>
          <w:sz w:val="22"/>
          <w:szCs w:val="22"/>
        </w:rPr>
        <w:t>determines is achievable through application of production processes and available methods, systems and techniques (including fuel cleaning or treatment or innovative fuel combustion techniques) for control of each such pollutant.</w:t>
      </w:r>
    </w:p>
    <w:p w:rsidR="002E3095" w:rsidRPr="00584D97" w:rsidRDefault="002E3095" w:rsidP="005325B9">
      <w:pPr>
        <w:pStyle w:val="Default"/>
        <w:widowControl w:val="0"/>
        <w:spacing w:after="120"/>
        <w:ind w:left="360"/>
        <w:rPr>
          <w:i/>
          <w:sz w:val="22"/>
          <w:szCs w:val="22"/>
        </w:rPr>
      </w:pPr>
      <w:r w:rsidRPr="00584D97">
        <w:rPr>
          <w:i/>
          <w:sz w:val="22"/>
          <w:szCs w:val="22"/>
        </w:rPr>
        <w:t xml:space="preserve">If the Department determines that technological or economic limitations on the application of measurement methodology to a particular part of an emissions unit or facility would make the imposition of an emission standard infeasible, a design, equipment, work practice, operational standard or combination thereof, may be prescribed instead to satisfy the requirement for the application of BACT.  Such standard shall, to the degree possible, set forth the emissions reductions achievable by implementation of such design, equipment, </w:t>
      </w:r>
      <w:r w:rsidRPr="00584D97">
        <w:rPr>
          <w:i/>
          <w:sz w:val="22"/>
          <w:szCs w:val="22"/>
        </w:rPr>
        <w:lastRenderedPageBreak/>
        <w:t xml:space="preserve">work practice or operation. </w:t>
      </w:r>
    </w:p>
    <w:p w:rsidR="002E3095" w:rsidRPr="00584D97" w:rsidRDefault="002E3095" w:rsidP="005325B9">
      <w:pPr>
        <w:pStyle w:val="Default"/>
        <w:widowControl w:val="0"/>
        <w:spacing w:after="120"/>
        <w:ind w:left="360"/>
        <w:rPr>
          <w:i/>
          <w:sz w:val="22"/>
          <w:szCs w:val="22"/>
        </w:rPr>
      </w:pPr>
      <w:r w:rsidRPr="00584D97">
        <w:rPr>
          <w:i/>
          <w:sz w:val="22"/>
          <w:szCs w:val="22"/>
        </w:rPr>
        <w:t xml:space="preserve">Each BACT determination shall include applicable test methods or shall provide for determining compliance with the standard(s) by means which achieve equivalent results. </w:t>
      </w:r>
    </w:p>
    <w:p w:rsidR="002E3095" w:rsidRPr="00584D97" w:rsidRDefault="002E3095" w:rsidP="005325B9">
      <w:pPr>
        <w:pStyle w:val="Default"/>
        <w:widowControl w:val="0"/>
        <w:spacing w:after="120"/>
        <w:ind w:left="360"/>
        <w:rPr>
          <w:i/>
          <w:sz w:val="22"/>
          <w:szCs w:val="22"/>
        </w:rPr>
      </w:pPr>
      <w:r w:rsidRPr="00584D97">
        <w:rPr>
          <w:i/>
          <w:sz w:val="22"/>
          <w:szCs w:val="22"/>
        </w:rPr>
        <w:t>In no event shall application of best available control technology result in emissions of any pollutant which would exceed the emissions allowed by any applicable standard und</w:t>
      </w:r>
      <w:r w:rsidR="00584D97" w:rsidRPr="00584D97">
        <w:rPr>
          <w:i/>
          <w:sz w:val="22"/>
          <w:szCs w:val="22"/>
        </w:rPr>
        <w:t>er 40 CFR Parts 60, 61, and 63.</w:t>
      </w:r>
    </w:p>
    <w:p w:rsidR="00975EF6" w:rsidRPr="00290299" w:rsidRDefault="00584D97" w:rsidP="005325B9">
      <w:pPr>
        <w:pStyle w:val="Default"/>
        <w:widowControl w:val="0"/>
        <w:spacing w:after="120"/>
        <w:rPr>
          <w:sz w:val="22"/>
          <w:szCs w:val="22"/>
        </w:rPr>
      </w:pPr>
      <w:r>
        <w:rPr>
          <w:sz w:val="22"/>
          <w:szCs w:val="22"/>
        </w:rPr>
        <w:t xml:space="preserve">In addition, </w:t>
      </w:r>
      <w:r w:rsidRPr="00290299">
        <w:rPr>
          <w:sz w:val="22"/>
          <w:szCs w:val="22"/>
        </w:rPr>
        <w:t xml:space="preserve">applicants must </w:t>
      </w:r>
      <w:r>
        <w:rPr>
          <w:sz w:val="22"/>
          <w:szCs w:val="22"/>
        </w:rPr>
        <w:t xml:space="preserve">provide an Air Quality Analysis that evaluates </w:t>
      </w:r>
      <w:r w:rsidRPr="00290299">
        <w:rPr>
          <w:sz w:val="22"/>
          <w:szCs w:val="22"/>
        </w:rPr>
        <w:t>th</w:t>
      </w:r>
      <w:r>
        <w:rPr>
          <w:sz w:val="22"/>
          <w:szCs w:val="22"/>
        </w:rPr>
        <w:t>e predicted air quality impacts resulting from the project for each PSD pollutant.</w:t>
      </w:r>
    </w:p>
    <w:p w:rsidR="002E3095" w:rsidRPr="00290299" w:rsidRDefault="002E3095" w:rsidP="00FC2896">
      <w:pPr>
        <w:pStyle w:val="ListParagraph"/>
        <w:widowControl w:val="0"/>
        <w:numPr>
          <w:ilvl w:val="1"/>
          <w:numId w:val="15"/>
        </w:numPr>
        <w:spacing w:before="120" w:after="120"/>
        <w:ind w:left="720" w:hanging="720"/>
        <w:contextualSpacing w:val="0"/>
        <w:rPr>
          <w:b/>
          <w:sz w:val="22"/>
          <w:szCs w:val="22"/>
        </w:rPr>
      </w:pPr>
      <w:bookmarkStart w:id="11" w:name="_Ref487537313"/>
      <w:r w:rsidRPr="00290299">
        <w:rPr>
          <w:b/>
          <w:sz w:val="22"/>
          <w:szCs w:val="22"/>
        </w:rPr>
        <w:t>PSD Applicability for the Project</w:t>
      </w:r>
      <w:bookmarkEnd w:id="11"/>
    </w:p>
    <w:p w:rsidR="00614117" w:rsidRDefault="002E3095" w:rsidP="005325B9">
      <w:pPr>
        <w:widowControl w:val="0"/>
        <w:spacing w:after="120"/>
        <w:rPr>
          <w:sz w:val="22"/>
          <w:szCs w:val="22"/>
        </w:rPr>
      </w:pPr>
      <w:r w:rsidRPr="00FC2896">
        <w:rPr>
          <w:sz w:val="22"/>
          <w:szCs w:val="22"/>
        </w:rPr>
        <w:t xml:space="preserve">The project is located in </w:t>
      </w:r>
      <w:r w:rsidR="00FC2896" w:rsidRPr="00FC2896">
        <w:rPr>
          <w:sz w:val="22"/>
          <w:szCs w:val="22"/>
        </w:rPr>
        <w:t>Highlands</w:t>
      </w:r>
      <w:r w:rsidRPr="00FC2896">
        <w:rPr>
          <w:sz w:val="22"/>
          <w:szCs w:val="22"/>
        </w:rPr>
        <w:t xml:space="preserve"> County, which is in an area that is currently in attainment with the AAQS or otherwise designated as unclassifiable</w:t>
      </w:r>
      <w:r w:rsidR="00FC2896" w:rsidRPr="00FC2896">
        <w:rPr>
          <w:sz w:val="22"/>
          <w:szCs w:val="22"/>
        </w:rPr>
        <w:t xml:space="preserve">. </w:t>
      </w:r>
      <w:r w:rsidR="00D05DCB" w:rsidRPr="00FC2896">
        <w:rPr>
          <w:sz w:val="22"/>
          <w:szCs w:val="22"/>
        </w:rPr>
        <w:t xml:space="preserve"> </w:t>
      </w:r>
      <w:r w:rsidRPr="00FC2896">
        <w:rPr>
          <w:sz w:val="22"/>
          <w:szCs w:val="22"/>
        </w:rPr>
        <w:t xml:space="preserve">The </w:t>
      </w:r>
      <w:r w:rsidR="000052AF" w:rsidRPr="00FC2896">
        <w:rPr>
          <w:sz w:val="22"/>
          <w:szCs w:val="22"/>
        </w:rPr>
        <w:t>facility emits or has the potential to emit 250 tons per year or more of at least one PSD pollutant</w:t>
      </w:r>
      <w:r w:rsidR="00FC2896" w:rsidRPr="00FC2896">
        <w:rPr>
          <w:sz w:val="22"/>
          <w:szCs w:val="22"/>
        </w:rPr>
        <w:t xml:space="preserve">.  </w:t>
      </w:r>
      <w:r w:rsidRPr="00FC2896">
        <w:rPr>
          <w:sz w:val="22"/>
          <w:szCs w:val="22"/>
        </w:rPr>
        <w:t xml:space="preserve">Therefore, the </w:t>
      </w:r>
      <w:r w:rsidR="000052AF" w:rsidRPr="00FC2896">
        <w:rPr>
          <w:sz w:val="22"/>
          <w:szCs w:val="22"/>
        </w:rPr>
        <w:t xml:space="preserve">facility </w:t>
      </w:r>
      <w:r w:rsidRPr="00FC2896">
        <w:rPr>
          <w:sz w:val="22"/>
          <w:szCs w:val="22"/>
        </w:rPr>
        <w:t>is a major stationary source</w:t>
      </w:r>
      <w:r w:rsidR="000052AF" w:rsidRPr="00FC2896">
        <w:rPr>
          <w:sz w:val="22"/>
          <w:szCs w:val="22"/>
        </w:rPr>
        <w:t xml:space="preserve"> and the project is subject to a PSD applicability review</w:t>
      </w:r>
      <w:r w:rsidRPr="00FC2896">
        <w:rPr>
          <w:sz w:val="22"/>
          <w:szCs w:val="22"/>
        </w:rPr>
        <w:t xml:space="preserve">.  </w:t>
      </w:r>
      <w:r w:rsidR="00656372" w:rsidRPr="00656372">
        <w:rPr>
          <w:rFonts w:ascii="Times New Roman Bold" w:hAnsi="Times New Roman Bold"/>
          <w:b/>
          <w:sz w:val="22"/>
          <w:szCs w:val="22"/>
        </w:rPr>
        <w:fldChar w:fldCharType="begin"/>
      </w:r>
      <w:r w:rsidR="00656372" w:rsidRPr="00656372">
        <w:rPr>
          <w:rFonts w:ascii="Times New Roman Bold" w:hAnsi="Times New Roman Bold"/>
          <w:b/>
          <w:sz w:val="22"/>
          <w:szCs w:val="22"/>
        </w:rPr>
        <w:instrText xml:space="preserve"> REF _Ref479171076 \h </w:instrText>
      </w:r>
      <w:r w:rsidR="00656372">
        <w:rPr>
          <w:rFonts w:ascii="Times New Roman Bold" w:hAnsi="Times New Roman Bold"/>
          <w:b/>
          <w:sz w:val="22"/>
          <w:szCs w:val="22"/>
        </w:rPr>
        <w:instrText xml:space="preserve"> \* MERGEFORMAT </w:instrText>
      </w:r>
      <w:r w:rsidR="00656372" w:rsidRPr="00656372">
        <w:rPr>
          <w:rFonts w:ascii="Times New Roman Bold" w:hAnsi="Times New Roman Bold"/>
          <w:b/>
          <w:sz w:val="22"/>
          <w:szCs w:val="22"/>
        </w:rPr>
      </w:r>
      <w:r w:rsidR="00656372" w:rsidRPr="00656372">
        <w:rPr>
          <w:rFonts w:ascii="Times New Roman Bold" w:hAnsi="Times New Roman Bold"/>
          <w:b/>
          <w:sz w:val="22"/>
          <w:szCs w:val="22"/>
        </w:rPr>
        <w:fldChar w:fldCharType="separate"/>
      </w:r>
      <w:r w:rsidR="005A4C55" w:rsidRPr="005A4C55">
        <w:rPr>
          <w:rFonts w:ascii="Times New Roman Bold" w:hAnsi="Times New Roman Bold"/>
          <w:b/>
          <w:sz w:val="22"/>
          <w:szCs w:val="22"/>
        </w:rPr>
        <w:t xml:space="preserve">Table </w:t>
      </w:r>
      <w:r w:rsidR="005A4C55" w:rsidRPr="005A4C55">
        <w:rPr>
          <w:rFonts w:ascii="Times New Roman Bold" w:hAnsi="Times New Roman Bold"/>
          <w:b/>
          <w:noProof/>
          <w:sz w:val="22"/>
          <w:szCs w:val="22"/>
        </w:rPr>
        <w:t>3</w:t>
      </w:r>
      <w:r w:rsidR="00656372" w:rsidRPr="00656372">
        <w:rPr>
          <w:rFonts w:ascii="Times New Roman Bold" w:hAnsi="Times New Roman Bold"/>
          <w:b/>
          <w:sz w:val="22"/>
          <w:szCs w:val="22"/>
        </w:rPr>
        <w:fldChar w:fldCharType="end"/>
      </w:r>
      <w:r w:rsidRPr="00FC2896">
        <w:rPr>
          <w:sz w:val="22"/>
          <w:szCs w:val="22"/>
        </w:rPr>
        <w:t xml:space="preserve"> identifies the estimated </w:t>
      </w:r>
      <w:r w:rsidR="00656372">
        <w:rPr>
          <w:sz w:val="22"/>
          <w:szCs w:val="22"/>
        </w:rPr>
        <w:t>project emissions</w:t>
      </w:r>
      <w:r w:rsidRPr="00FC2896">
        <w:rPr>
          <w:sz w:val="22"/>
          <w:szCs w:val="22"/>
        </w:rPr>
        <w:t xml:space="preserve"> based on the application.</w:t>
      </w:r>
    </w:p>
    <w:p w:rsidR="00975EF6" w:rsidRPr="00975EF6" w:rsidRDefault="00975EF6" w:rsidP="00656372">
      <w:pPr>
        <w:spacing w:after="60"/>
        <w:jc w:val="center"/>
        <w:rPr>
          <w:rFonts w:ascii="Times New Roman Bold" w:hAnsi="Times New Roman Bold"/>
          <w:b/>
          <w:caps/>
          <w:sz w:val="22"/>
          <w:szCs w:val="22"/>
          <w:vertAlign w:val="superscript"/>
        </w:rPr>
      </w:pPr>
      <w:bookmarkStart w:id="12" w:name="_Ref479171076"/>
      <w:r w:rsidRPr="00975EF6">
        <w:rPr>
          <w:rFonts w:ascii="Times New Roman Bold" w:hAnsi="Times New Roman Bold"/>
          <w:b/>
          <w:caps/>
          <w:sz w:val="22"/>
          <w:szCs w:val="22"/>
        </w:rPr>
        <w:t xml:space="preserve">Table </w:t>
      </w:r>
      <w:r w:rsidRPr="00975EF6">
        <w:rPr>
          <w:rFonts w:ascii="Times New Roman Bold" w:hAnsi="Times New Roman Bold"/>
          <w:b/>
          <w:caps/>
          <w:sz w:val="22"/>
          <w:szCs w:val="22"/>
        </w:rPr>
        <w:fldChar w:fldCharType="begin"/>
      </w:r>
      <w:r w:rsidRPr="00975EF6">
        <w:rPr>
          <w:rFonts w:ascii="Times New Roman Bold" w:hAnsi="Times New Roman Bold"/>
          <w:b/>
          <w:caps/>
          <w:sz w:val="22"/>
          <w:szCs w:val="22"/>
        </w:rPr>
        <w:instrText xml:space="preserve"> SEQ Table \* ARABIC </w:instrText>
      </w:r>
      <w:r w:rsidRPr="00975EF6">
        <w:rPr>
          <w:rFonts w:ascii="Times New Roman Bold" w:hAnsi="Times New Roman Bold"/>
          <w:b/>
          <w:caps/>
          <w:sz w:val="22"/>
          <w:szCs w:val="22"/>
        </w:rPr>
        <w:fldChar w:fldCharType="separate"/>
      </w:r>
      <w:r w:rsidR="00CF4EEA">
        <w:rPr>
          <w:rFonts w:ascii="Times New Roman Bold" w:hAnsi="Times New Roman Bold"/>
          <w:b/>
          <w:caps/>
          <w:noProof/>
          <w:sz w:val="22"/>
          <w:szCs w:val="22"/>
        </w:rPr>
        <w:t>3</w:t>
      </w:r>
      <w:r w:rsidRPr="00975EF6">
        <w:rPr>
          <w:rFonts w:ascii="Times New Roman Bold" w:hAnsi="Times New Roman Bold"/>
          <w:b/>
          <w:caps/>
          <w:sz w:val="22"/>
          <w:szCs w:val="22"/>
        </w:rPr>
        <w:fldChar w:fldCharType="end"/>
      </w:r>
      <w:bookmarkEnd w:id="12"/>
      <w:r w:rsidRPr="00975EF6">
        <w:rPr>
          <w:rFonts w:ascii="Times New Roman Bold" w:hAnsi="Times New Roman Bold"/>
          <w:b/>
          <w:caps/>
          <w:sz w:val="22"/>
          <w:szCs w:val="22"/>
        </w:rPr>
        <w:t xml:space="preserve"> – Applicant’s Estim</w:t>
      </w:r>
      <w:r w:rsidR="00656372">
        <w:rPr>
          <w:rFonts w:ascii="Times New Roman Bold" w:hAnsi="Times New Roman Bold"/>
          <w:b/>
          <w:caps/>
          <w:sz w:val="22"/>
          <w:szCs w:val="22"/>
        </w:rPr>
        <w:t>ated PTE (tons per year) of Key PSD Pollutants</w:t>
      </w:r>
      <w:r w:rsidRPr="00975EF6">
        <w:rPr>
          <w:rFonts w:ascii="Times New Roman Bold" w:hAnsi="Times New Roman Bold"/>
          <w:b/>
          <w:caps/>
          <w:sz w:val="22"/>
          <w:szCs w:val="22"/>
        </w:rPr>
        <w:t>.</w:t>
      </w:r>
    </w:p>
    <w:tbl>
      <w:tblPr>
        <w:tblW w:w="10317" w:type="dxa"/>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700"/>
        <w:gridCol w:w="687"/>
        <w:gridCol w:w="630"/>
        <w:gridCol w:w="720"/>
        <w:gridCol w:w="720"/>
        <w:gridCol w:w="720"/>
        <w:gridCol w:w="720"/>
        <w:gridCol w:w="720"/>
        <w:gridCol w:w="720"/>
        <w:gridCol w:w="630"/>
        <w:gridCol w:w="540"/>
        <w:gridCol w:w="810"/>
      </w:tblGrid>
      <w:tr w:rsidR="001935E1" w:rsidRPr="00A45402" w:rsidTr="00AF374A">
        <w:trPr>
          <w:trHeight w:val="377"/>
          <w:tblHeader/>
        </w:trPr>
        <w:tc>
          <w:tcPr>
            <w:tcW w:w="2700" w:type="dxa"/>
            <w:vMerge w:val="restart"/>
            <w:tcBorders>
              <w:top w:val="single" w:sz="12" w:space="0" w:color="auto"/>
            </w:tcBorders>
            <w:shd w:val="clear" w:color="auto" w:fill="C6D9F1" w:themeFill="text2" w:themeFillTint="33"/>
            <w:vAlign w:val="center"/>
          </w:tcPr>
          <w:p w:rsidR="001935E1" w:rsidRPr="00BD60AC" w:rsidRDefault="001935E1" w:rsidP="001935E1">
            <w:pPr>
              <w:widowControl w:val="0"/>
              <w:spacing w:before="20" w:after="20"/>
              <w:rPr>
                <w:b/>
                <w:color w:val="000000" w:themeColor="text1"/>
              </w:rPr>
            </w:pPr>
            <w:r w:rsidRPr="00BD60AC">
              <w:rPr>
                <w:b/>
                <w:color w:val="000000" w:themeColor="text1"/>
              </w:rPr>
              <w:t>Operation/EU</w:t>
            </w:r>
          </w:p>
        </w:tc>
        <w:tc>
          <w:tcPr>
            <w:tcW w:w="7617" w:type="dxa"/>
            <w:gridSpan w:val="11"/>
            <w:tcBorders>
              <w:top w:val="single" w:sz="12" w:space="0" w:color="auto"/>
              <w:bottom w:val="single" w:sz="12" w:space="0" w:color="auto"/>
            </w:tcBorders>
            <w:shd w:val="clear" w:color="auto" w:fill="C6D9F1" w:themeFill="text2" w:themeFillTint="33"/>
            <w:vAlign w:val="center"/>
          </w:tcPr>
          <w:p w:rsidR="001935E1" w:rsidRDefault="001935E1" w:rsidP="001935E1">
            <w:pPr>
              <w:widowControl w:val="0"/>
              <w:spacing w:before="20" w:after="20"/>
              <w:jc w:val="center"/>
              <w:rPr>
                <w:b/>
                <w:color w:val="000000" w:themeColor="text1"/>
              </w:rPr>
            </w:pPr>
            <w:r>
              <w:rPr>
                <w:b/>
                <w:color w:val="000000" w:themeColor="text1"/>
              </w:rPr>
              <w:t>Pollutant</w:t>
            </w:r>
          </w:p>
        </w:tc>
      </w:tr>
      <w:tr w:rsidR="001935E1" w:rsidRPr="00A45402" w:rsidTr="00AF374A">
        <w:trPr>
          <w:trHeight w:val="377"/>
          <w:tblHeader/>
        </w:trPr>
        <w:tc>
          <w:tcPr>
            <w:tcW w:w="2700" w:type="dxa"/>
            <w:vMerge/>
            <w:tcBorders>
              <w:bottom w:val="single" w:sz="12" w:space="0" w:color="auto"/>
            </w:tcBorders>
            <w:shd w:val="clear" w:color="auto" w:fill="C6D9F1" w:themeFill="text2" w:themeFillTint="33"/>
            <w:vAlign w:val="center"/>
          </w:tcPr>
          <w:p w:rsidR="001935E1" w:rsidRPr="00BD60AC" w:rsidRDefault="001935E1" w:rsidP="001935E1">
            <w:pPr>
              <w:widowControl w:val="0"/>
              <w:spacing w:before="20" w:after="20"/>
              <w:rPr>
                <w:b/>
                <w:color w:val="000000" w:themeColor="text1"/>
              </w:rPr>
            </w:pPr>
          </w:p>
        </w:tc>
        <w:tc>
          <w:tcPr>
            <w:tcW w:w="687" w:type="dxa"/>
            <w:tcBorders>
              <w:top w:val="single" w:sz="12" w:space="0" w:color="auto"/>
              <w:bottom w:val="single" w:sz="12" w:space="0" w:color="auto"/>
            </w:tcBorders>
            <w:shd w:val="clear" w:color="auto" w:fill="C6D9F1" w:themeFill="text2" w:themeFillTint="33"/>
            <w:vAlign w:val="center"/>
          </w:tcPr>
          <w:p w:rsidR="001935E1" w:rsidRPr="00BD60AC" w:rsidRDefault="001935E1" w:rsidP="001935E1">
            <w:pPr>
              <w:widowControl w:val="0"/>
              <w:spacing w:before="20" w:after="20"/>
              <w:jc w:val="center"/>
              <w:rPr>
                <w:b/>
                <w:color w:val="000000" w:themeColor="text1"/>
              </w:rPr>
            </w:pPr>
            <w:r w:rsidRPr="00BD60AC">
              <w:rPr>
                <w:b/>
                <w:color w:val="000000" w:themeColor="text1"/>
              </w:rPr>
              <w:t>CO</w:t>
            </w:r>
          </w:p>
        </w:tc>
        <w:tc>
          <w:tcPr>
            <w:tcW w:w="630" w:type="dxa"/>
            <w:tcBorders>
              <w:top w:val="single" w:sz="12" w:space="0" w:color="auto"/>
              <w:bottom w:val="single" w:sz="12" w:space="0" w:color="auto"/>
            </w:tcBorders>
            <w:shd w:val="clear" w:color="auto" w:fill="C6D9F1" w:themeFill="text2" w:themeFillTint="33"/>
            <w:vAlign w:val="center"/>
          </w:tcPr>
          <w:p w:rsidR="001935E1" w:rsidRPr="00BD60AC" w:rsidRDefault="001935E1" w:rsidP="001935E1">
            <w:pPr>
              <w:widowControl w:val="0"/>
              <w:spacing w:before="20" w:after="20"/>
              <w:jc w:val="center"/>
              <w:rPr>
                <w:b/>
                <w:color w:val="000000" w:themeColor="text1"/>
              </w:rPr>
            </w:pPr>
            <w:r w:rsidRPr="00BD60AC">
              <w:rPr>
                <w:b/>
                <w:color w:val="000000" w:themeColor="text1"/>
              </w:rPr>
              <w:t>NO</w:t>
            </w:r>
            <w:r w:rsidRPr="00BD60AC">
              <w:rPr>
                <w:b/>
                <w:color w:val="000000" w:themeColor="text1"/>
                <w:vertAlign w:val="subscript"/>
              </w:rPr>
              <w:t>X</w:t>
            </w:r>
          </w:p>
        </w:tc>
        <w:tc>
          <w:tcPr>
            <w:tcW w:w="720" w:type="dxa"/>
            <w:tcBorders>
              <w:top w:val="single" w:sz="12" w:space="0" w:color="auto"/>
              <w:bottom w:val="single" w:sz="12" w:space="0" w:color="auto"/>
            </w:tcBorders>
            <w:shd w:val="clear" w:color="auto" w:fill="C6D9F1" w:themeFill="text2" w:themeFillTint="33"/>
            <w:vAlign w:val="center"/>
          </w:tcPr>
          <w:p w:rsidR="001935E1" w:rsidRPr="00BD60AC" w:rsidRDefault="001935E1" w:rsidP="001935E1">
            <w:pPr>
              <w:widowControl w:val="0"/>
              <w:spacing w:before="20" w:after="20"/>
              <w:jc w:val="center"/>
              <w:rPr>
                <w:b/>
                <w:color w:val="000000" w:themeColor="text1"/>
                <w:vertAlign w:val="superscript"/>
              </w:rPr>
            </w:pPr>
            <w:r w:rsidRPr="00BD60AC">
              <w:rPr>
                <w:b/>
                <w:color w:val="000000" w:themeColor="text1"/>
              </w:rPr>
              <w:t>PM</w:t>
            </w:r>
            <w:r>
              <w:rPr>
                <w:b/>
                <w:color w:val="000000" w:themeColor="text1"/>
              </w:rPr>
              <w:t xml:space="preserve"> </w:t>
            </w:r>
            <w:r w:rsidRPr="0039291B">
              <w:rPr>
                <w:b/>
                <w:color w:val="000000" w:themeColor="text1"/>
                <w:vertAlign w:val="superscript"/>
              </w:rPr>
              <w:t>a</w:t>
            </w:r>
          </w:p>
        </w:tc>
        <w:tc>
          <w:tcPr>
            <w:tcW w:w="720" w:type="dxa"/>
            <w:tcBorders>
              <w:top w:val="single" w:sz="12" w:space="0" w:color="auto"/>
              <w:bottom w:val="single" w:sz="12" w:space="0" w:color="auto"/>
            </w:tcBorders>
            <w:shd w:val="clear" w:color="auto" w:fill="C6D9F1" w:themeFill="text2" w:themeFillTint="33"/>
            <w:vAlign w:val="center"/>
          </w:tcPr>
          <w:p w:rsidR="001935E1" w:rsidRPr="00BD60AC" w:rsidRDefault="001935E1" w:rsidP="001935E1">
            <w:pPr>
              <w:widowControl w:val="0"/>
              <w:spacing w:before="20" w:after="20"/>
              <w:jc w:val="center"/>
              <w:rPr>
                <w:b/>
                <w:color w:val="000000" w:themeColor="text1"/>
              </w:rPr>
            </w:pPr>
            <w:r w:rsidRPr="00BD60AC">
              <w:rPr>
                <w:b/>
                <w:color w:val="000000" w:themeColor="text1"/>
              </w:rPr>
              <w:t>PM</w:t>
            </w:r>
            <w:r w:rsidRPr="00BD60AC">
              <w:rPr>
                <w:b/>
                <w:color w:val="000000" w:themeColor="text1"/>
                <w:vertAlign w:val="subscript"/>
              </w:rPr>
              <w:t>10</w:t>
            </w:r>
          </w:p>
        </w:tc>
        <w:tc>
          <w:tcPr>
            <w:tcW w:w="720" w:type="dxa"/>
            <w:tcBorders>
              <w:top w:val="single" w:sz="12" w:space="0" w:color="auto"/>
              <w:bottom w:val="single" w:sz="12" w:space="0" w:color="auto"/>
            </w:tcBorders>
            <w:shd w:val="clear" w:color="auto" w:fill="C6D9F1" w:themeFill="text2" w:themeFillTint="33"/>
            <w:vAlign w:val="center"/>
          </w:tcPr>
          <w:p w:rsidR="001935E1" w:rsidRPr="0007601A" w:rsidRDefault="001935E1" w:rsidP="001935E1">
            <w:pPr>
              <w:widowControl w:val="0"/>
              <w:spacing w:before="20" w:after="20"/>
              <w:jc w:val="center"/>
              <w:rPr>
                <w:b/>
                <w:color w:val="000000" w:themeColor="text1"/>
                <w:vertAlign w:val="superscript"/>
              </w:rPr>
            </w:pPr>
            <w:r w:rsidRPr="0007601A">
              <w:rPr>
                <w:b/>
                <w:color w:val="000000" w:themeColor="text1"/>
              </w:rPr>
              <w:t>PM</w:t>
            </w:r>
            <w:r w:rsidRPr="0007601A">
              <w:rPr>
                <w:b/>
                <w:color w:val="000000" w:themeColor="text1"/>
                <w:vertAlign w:val="subscript"/>
              </w:rPr>
              <w:t xml:space="preserve">2.5 </w:t>
            </w:r>
          </w:p>
        </w:tc>
        <w:tc>
          <w:tcPr>
            <w:tcW w:w="720" w:type="dxa"/>
            <w:tcBorders>
              <w:top w:val="single" w:sz="12" w:space="0" w:color="auto"/>
              <w:bottom w:val="single" w:sz="12" w:space="0" w:color="auto"/>
            </w:tcBorders>
            <w:shd w:val="clear" w:color="auto" w:fill="C6D9F1" w:themeFill="text2" w:themeFillTint="33"/>
            <w:vAlign w:val="center"/>
          </w:tcPr>
          <w:p w:rsidR="001935E1" w:rsidRPr="0007601A" w:rsidRDefault="001935E1" w:rsidP="001935E1">
            <w:pPr>
              <w:widowControl w:val="0"/>
              <w:spacing w:before="20" w:after="20"/>
              <w:jc w:val="center"/>
              <w:rPr>
                <w:b/>
                <w:color w:val="000000" w:themeColor="text1"/>
              </w:rPr>
            </w:pPr>
            <w:r w:rsidRPr="0007601A">
              <w:rPr>
                <w:b/>
                <w:color w:val="000000" w:themeColor="text1"/>
              </w:rPr>
              <w:t>SO</w:t>
            </w:r>
            <w:r w:rsidRPr="0007601A">
              <w:rPr>
                <w:b/>
                <w:color w:val="000000" w:themeColor="text1"/>
                <w:vertAlign w:val="subscript"/>
              </w:rPr>
              <w:t>2</w:t>
            </w:r>
          </w:p>
        </w:tc>
        <w:tc>
          <w:tcPr>
            <w:tcW w:w="720" w:type="dxa"/>
            <w:tcBorders>
              <w:top w:val="single" w:sz="12" w:space="0" w:color="auto"/>
              <w:bottom w:val="single" w:sz="12" w:space="0" w:color="auto"/>
            </w:tcBorders>
            <w:shd w:val="clear" w:color="auto" w:fill="C6D9F1" w:themeFill="text2" w:themeFillTint="33"/>
            <w:vAlign w:val="center"/>
          </w:tcPr>
          <w:p w:rsidR="001935E1" w:rsidRPr="0007601A" w:rsidRDefault="001935E1" w:rsidP="001935E1">
            <w:pPr>
              <w:widowControl w:val="0"/>
              <w:spacing w:before="20" w:after="20"/>
              <w:jc w:val="center"/>
              <w:rPr>
                <w:b/>
                <w:color w:val="000000" w:themeColor="text1"/>
              </w:rPr>
            </w:pPr>
            <w:r w:rsidRPr="0007601A">
              <w:rPr>
                <w:b/>
                <w:color w:val="000000" w:themeColor="text1"/>
              </w:rPr>
              <w:t>SAM</w:t>
            </w:r>
          </w:p>
        </w:tc>
        <w:tc>
          <w:tcPr>
            <w:tcW w:w="720" w:type="dxa"/>
            <w:tcBorders>
              <w:top w:val="single" w:sz="12" w:space="0" w:color="auto"/>
              <w:bottom w:val="single" w:sz="12" w:space="0" w:color="auto"/>
            </w:tcBorders>
            <w:shd w:val="clear" w:color="auto" w:fill="C6D9F1" w:themeFill="text2" w:themeFillTint="33"/>
            <w:vAlign w:val="center"/>
          </w:tcPr>
          <w:p w:rsidR="001935E1" w:rsidRPr="0007601A" w:rsidRDefault="001935E1" w:rsidP="001935E1">
            <w:pPr>
              <w:widowControl w:val="0"/>
              <w:spacing w:before="20" w:after="20"/>
              <w:jc w:val="center"/>
              <w:rPr>
                <w:b/>
                <w:color w:val="000000" w:themeColor="text1"/>
              </w:rPr>
            </w:pPr>
            <w:r w:rsidRPr="0007601A">
              <w:rPr>
                <w:b/>
                <w:color w:val="000000" w:themeColor="text1"/>
              </w:rPr>
              <w:t>VOC</w:t>
            </w:r>
          </w:p>
        </w:tc>
        <w:tc>
          <w:tcPr>
            <w:tcW w:w="630" w:type="dxa"/>
            <w:tcBorders>
              <w:top w:val="single" w:sz="12" w:space="0" w:color="auto"/>
              <w:bottom w:val="single" w:sz="12" w:space="0" w:color="auto"/>
            </w:tcBorders>
            <w:shd w:val="clear" w:color="auto" w:fill="C6D9F1" w:themeFill="text2" w:themeFillTint="33"/>
            <w:vAlign w:val="center"/>
          </w:tcPr>
          <w:p w:rsidR="001935E1" w:rsidRPr="0007601A" w:rsidRDefault="001935E1" w:rsidP="001935E1">
            <w:pPr>
              <w:widowControl w:val="0"/>
              <w:spacing w:before="20" w:after="20"/>
              <w:jc w:val="center"/>
              <w:rPr>
                <w:b/>
                <w:color w:val="000000" w:themeColor="text1"/>
              </w:rPr>
            </w:pPr>
            <w:r w:rsidRPr="0007601A">
              <w:rPr>
                <w:b/>
                <w:color w:val="000000" w:themeColor="text1"/>
              </w:rPr>
              <w:t>Hg</w:t>
            </w:r>
          </w:p>
        </w:tc>
        <w:tc>
          <w:tcPr>
            <w:tcW w:w="540" w:type="dxa"/>
            <w:tcBorders>
              <w:top w:val="single" w:sz="12" w:space="0" w:color="auto"/>
              <w:bottom w:val="single" w:sz="12" w:space="0" w:color="auto"/>
            </w:tcBorders>
            <w:shd w:val="clear" w:color="auto" w:fill="C6D9F1" w:themeFill="text2" w:themeFillTint="33"/>
            <w:vAlign w:val="center"/>
          </w:tcPr>
          <w:p w:rsidR="001935E1" w:rsidRPr="0007601A" w:rsidRDefault="001935E1" w:rsidP="001935E1">
            <w:pPr>
              <w:widowControl w:val="0"/>
              <w:spacing w:before="20" w:after="20"/>
              <w:jc w:val="center"/>
              <w:rPr>
                <w:b/>
                <w:color w:val="000000" w:themeColor="text1"/>
              </w:rPr>
            </w:pPr>
            <w:r w:rsidRPr="0007601A">
              <w:rPr>
                <w:b/>
                <w:color w:val="000000" w:themeColor="text1"/>
              </w:rPr>
              <w:t>Pb</w:t>
            </w:r>
          </w:p>
        </w:tc>
        <w:tc>
          <w:tcPr>
            <w:tcW w:w="810" w:type="dxa"/>
            <w:tcBorders>
              <w:top w:val="single" w:sz="12" w:space="0" w:color="auto"/>
              <w:bottom w:val="single" w:sz="12" w:space="0" w:color="auto"/>
            </w:tcBorders>
            <w:shd w:val="clear" w:color="auto" w:fill="C6D9F1" w:themeFill="text2" w:themeFillTint="33"/>
            <w:vAlign w:val="center"/>
          </w:tcPr>
          <w:p w:rsidR="001935E1" w:rsidRPr="00BD60AC" w:rsidRDefault="001935E1" w:rsidP="001935E1">
            <w:pPr>
              <w:widowControl w:val="0"/>
              <w:spacing w:before="20" w:after="20"/>
              <w:jc w:val="center"/>
              <w:rPr>
                <w:b/>
                <w:color w:val="000000" w:themeColor="text1"/>
              </w:rPr>
            </w:pPr>
            <w:r>
              <w:rPr>
                <w:b/>
                <w:color w:val="000000" w:themeColor="text1"/>
              </w:rPr>
              <w:t>GHG</w:t>
            </w:r>
          </w:p>
        </w:tc>
      </w:tr>
      <w:tr w:rsidR="001935E1" w:rsidRPr="00A45402" w:rsidTr="00656372">
        <w:trPr>
          <w:trHeight w:val="377"/>
        </w:trPr>
        <w:tc>
          <w:tcPr>
            <w:tcW w:w="2700" w:type="dxa"/>
            <w:tcBorders>
              <w:top w:val="single" w:sz="12" w:space="0" w:color="auto"/>
            </w:tcBorders>
            <w:vAlign w:val="center"/>
          </w:tcPr>
          <w:p w:rsidR="001935E1" w:rsidRPr="00B67467" w:rsidRDefault="001935E1" w:rsidP="001935E1">
            <w:pPr>
              <w:widowControl w:val="0"/>
              <w:spacing w:before="20" w:after="20"/>
              <w:rPr>
                <w:color w:val="000000" w:themeColor="text1"/>
                <w:sz w:val="18"/>
                <w:szCs w:val="18"/>
              </w:rPr>
            </w:pPr>
            <w:r w:rsidRPr="00B67467">
              <w:rPr>
                <w:color w:val="000000" w:themeColor="text1"/>
                <w:sz w:val="18"/>
                <w:szCs w:val="18"/>
              </w:rPr>
              <w:t>Biomass Material Handling (001)</w:t>
            </w:r>
          </w:p>
        </w:tc>
        <w:tc>
          <w:tcPr>
            <w:tcW w:w="687" w:type="dxa"/>
            <w:tcBorders>
              <w:top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p>
        </w:tc>
        <w:tc>
          <w:tcPr>
            <w:tcW w:w="630" w:type="dxa"/>
            <w:tcBorders>
              <w:top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p>
        </w:tc>
        <w:tc>
          <w:tcPr>
            <w:tcW w:w="720" w:type="dxa"/>
            <w:tcBorders>
              <w:top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14.2</w:t>
            </w:r>
          </w:p>
        </w:tc>
        <w:tc>
          <w:tcPr>
            <w:tcW w:w="720" w:type="dxa"/>
            <w:tcBorders>
              <w:top w:val="single" w:sz="12" w:space="0" w:color="auto"/>
            </w:tcBorders>
            <w:vAlign w:val="center"/>
          </w:tcPr>
          <w:p w:rsidR="001935E1" w:rsidRDefault="001935E1" w:rsidP="001935E1">
            <w:pPr>
              <w:widowControl w:val="0"/>
              <w:spacing w:before="20" w:after="20"/>
              <w:jc w:val="center"/>
              <w:rPr>
                <w:color w:val="000000" w:themeColor="text1"/>
                <w:sz w:val="18"/>
                <w:szCs w:val="18"/>
              </w:rPr>
            </w:pPr>
            <w:r>
              <w:rPr>
                <w:color w:val="000000" w:themeColor="text1"/>
                <w:sz w:val="18"/>
                <w:szCs w:val="18"/>
              </w:rPr>
              <w:t>3.4</w:t>
            </w:r>
          </w:p>
        </w:tc>
        <w:tc>
          <w:tcPr>
            <w:tcW w:w="720" w:type="dxa"/>
            <w:tcBorders>
              <w:top w:val="single" w:sz="12" w:space="0" w:color="auto"/>
            </w:tcBorders>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0.7</w:t>
            </w:r>
          </w:p>
        </w:tc>
        <w:tc>
          <w:tcPr>
            <w:tcW w:w="720" w:type="dxa"/>
            <w:tcBorders>
              <w:top w:val="single" w:sz="12" w:space="0" w:color="auto"/>
            </w:tcBorders>
            <w:vAlign w:val="center"/>
          </w:tcPr>
          <w:p w:rsidR="001935E1" w:rsidRPr="0007601A" w:rsidRDefault="001935E1" w:rsidP="001935E1">
            <w:pPr>
              <w:widowControl w:val="0"/>
              <w:spacing w:before="20" w:after="20"/>
              <w:jc w:val="center"/>
              <w:rPr>
                <w:color w:val="000000" w:themeColor="text1"/>
                <w:sz w:val="18"/>
                <w:szCs w:val="18"/>
              </w:rPr>
            </w:pPr>
          </w:p>
        </w:tc>
        <w:tc>
          <w:tcPr>
            <w:tcW w:w="720" w:type="dxa"/>
            <w:tcBorders>
              <w:top w:val="single" w:sz="12" w:space="0" w:color="auto"/>
            </w:tcBorders>
            <w:vAlign w:val="center"/>
          </w:tcPr>
          <w:p w:rsidR="001935E1" w:rsidRPr="0007601A" w:rsidRDefault="001935E1" w:rsidP="001935E1">
            <w:pPr>
              <w:widowControl w:val="0"/>
              <w:spacing w:before="20" w:after="20"/>
              <w:jc w:val="center"/>
              <w:rPr>
                <w:color w:val="000000" w:themeColor="text1"/>
                <w:sz w:val="18"/>
                <w:szCs w:val="18"/>
              </w:rPr>
            </w:pPr>
          </w:p>
        </w:tc>
        <w:tc>
          <w:tcPr>
            <w:tcW w:w="720" w:type="dxa"/>
            <w:tcBorders>
              <w:top w:val="single" w:sz="12" w:space="0" w:color="auto"/>
            </w:tcBorders>
            <w:vAlign w:val="center"/>
          </w:tcPr>
          <w:p w:rsidR="001935E1" w:rsidRPr="0007601A" w:rsidRDefault="001935E1" w:rsidP="001935E1">
            <w:pPr>
              <w:widowControl w:val="0"/>
              <w:spacing w:before="20" w:after="20"/>
              <w:jc w:val="center"/>
              <w:rPr>
                <w:color w:val="000000" w:themeColor="text1"/>
                <w:sz w:val="18"/>
                <w:szCs w:val="18"/>
              </w:rPr>
            </w:pPr>
          </w:p>
        </w:tc>
        <w:tc>
          <w:tcPr>
            <w:tcW w:w="630" w:type="dxa"/>
            <w:tcBorders>
              <w:top w:val="single" w:sz="12" w:space="0" w:color="auto"/>
            </w:tcBorders>
            <w:vAlign w:val="center"/>
          </w:tcPr>
          <w:p w:rsidR="001935E1" w:rsidRPr="0007601A" w:rsidRDefault="001935E1" w:rsidP="001935E1">
            <w:pPr>
              <w:widowControl w:val="0"/>
              <w:spacing w:before="20" w:after="20"/>
              <w:jc w:val="center"/>
              <w:rPr>
                <w:color w:val="000000" w:themeColor="text1"/>
                <w:sz w:val="18"/>
                <w:szCs w:val="18"/>
              </w:rPr>
            </w:pPr>
          </w:p>
        </w:tc>
        <w:tc>
          <w:tcPr>
            <w:tcW w:w="540" w:type="dxa"/>
            <w:tcBorders>
              <w:top w:val="single" w:sz="12" w:space="0" w:color="auto"/>
            </w:tcBorders>
            <w:vAlign w:val="center"/>
          </w:tcPr>
          <w:p w:rsidR="001935E1" w:rsidRPr="0007601A" w:rsidRDefault="001935E1" w:rsidP="001935E1">
            <w:pPr>
              <w:widowControl w:val="0"/>
              <w:spacing w:before="20" w:after="20"/>
              <w:jc w:val="center"/>
              <w:rPr>
                <w:color w:val="000000" w:themeColor="text1"/>
                <w:sz w:val="18"/>
                <w:szCs w:val="18"/>
              </w:rPr>
            </w:pPr>
          </w:p>
        </w:tc>
        <w:tc>
          <w:tcPr>
            <w:tcW w:w="810" w:type="dxa"/>
            <w:tcBorders>
              <w:top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p>
        </w:tc>
      </w:tr>
      <w:tr w:rsidR="001935E1" w:rsidRPr="00A45402" w:rsidTr="00656372">
        <w:trPr>
          <w:trHeight w:val="377"/>
        </w:trPr>
        <w:tc>
          <w:tcPr>
            <w:tcW w:w="2700" w:type="dxa"/>
            <w:vAlign w:val="center"/>
          </w:tcPr>
          <w:p w:rsidR="001935E1" w:rsidRPr="00B67467" w:rsidRDefault="001935E1" w:rsidP="001935E1">
            <w:pPr>
              <w:widowControl w:val="0"/>
              <w:spacing w:before="20" w:after="20"/>
              <w:rPr>
                <w:color w:val="000000" w:themeColor="text1"/>
                <w:sz w:val="18"/>
                <w:szCs w:val="18"/>
              </w:rPr>
            </w:pPr>
            <w:r w:rsidRPr="00B67467">
              <w:rPr>
                <w:color w:val="000000" w:themeColor="text1"/>
                <w:sz w:val="18"/>
                <w:szCs w:val="18"/>
              </w:rPr>
              <w:t>Boiler (002)</w:t>
            </w:r>
          </w:p>
        </w:tc>
        <w:tc>
          <w:tcPr>
            <w:tcW w:w="687"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552.9</w:t>
            </w:r>
          </w:p>
        </w:tc>
        <w:tc>
          <w:tcPr>
            <w:tcW w:w="630"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184.3</w:t>
            </w:r>
          </w:p>
        </w:tc>
        <w:tc>
          <w:tcPr>
            <w:tcW w:w="720"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27.7</w:t>
            </w:r>
          </w:p>
        </w:tc>
        <w:tc>
          <w:tcPr>
            <w:tcW w:w="720" w:type="dxa"/>
            <w:vAlign w:val="center"/>
          </w:tcPr>
          <w:p w:rsidR="001935E1" w:rsidRDefault="001935E1" w:rsidP="001935E1">
            <w:pPr>
              <w:widowControl w:val="0"/>
              <w:spacing w:before="20" w:after="20"/>
              <w:jc w:val="center"/>
              <w:rPr>
                <w:color w:val="000000" w:themeColor="text1"/>
                <w:sz w:val="18"/>
                <w:szCs w:val="18"/>
              </w:rPr>
            </w:pPr>
            <w:r>
              <w:rPr>
                <w:color w:val="000000" w:themeColor="text1"/>
                <w:sz w:val="18"/>
                <w:szCs w:val="18"/>
              </w:rPr>
              <w:t>49.8</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40.1</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200.4</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6.8</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31.3</w:t>
            </w:r>
          </w:p>
        </w:tc>
        <w:tc>
          <w:tcPr>
            <w:tcW w:w="63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0.025</w:t>
            </w:r>
          </w:p>
        </w:tc>
        <w:tc>
          <w:tcPr>
            <w:tcW w:w="54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0.18</w:t>
            </w:r>
          </w:p>
        </w:tc>
        <w:tc>
          <w:tcPr>
            <w:tcW w:w="810"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406,582</w:t>
            </w:r>
          </w:p>
        </w:tc>
      </w:tr>
      <w:tr w:rsidR="001935E1" w:rsidRPr="00A45402" w:rsidTr="00656372">
        <w:trPr>
          <w:trHeight w:val="377"/>
        </w:trPr>
        <w:tc>
          <w:tcPr>
            <w:tcW w:w="2700" w:type="dxa"/>
            <w:vAlign w:val="center"/>
          </w:tcPr>
          <w:p w:rsidR="001935E1" w:rsidRPr="00B67467" w:rsidRDefault="001935E1" w:rsidP="001935E1">
            <w:pPr>
              <w:widowControl w:val="0"/>
              <w:spacing w:before="20" w:after="20"/>
              <w:rPr>
                <w:color w:val="000000" w:themeColor="text1"/>
                <w:sz w:val="18"/>
                <w:szCs w:val="18"/>
              </w:rPr>
            </w:pPr>
            <w:r w:rsidRPr="00B67467">
              <w:rPr>
                <w:color w:val="000000" w:themeColor="text1"/>
                <w:sz w:val="18"/>
                <w:szCs w:val="18"/>
              </w:rPr>
              <w:t>Cooling Towers (003)</w:t>
            </w:r>
          </w:p>
        </w:tc>
        <w:tc>
          <w:tcPr>
            <w:tcW w:w="687" w:type="dxa"/>
            <w:vAlign w:val="center"/>
          </w:tcPr>
          <w:p w:rsidR="001935E1" w:rsidRPr="00A45402" w:rsidRDefault="001935E1" w:rsidP="001935E1">
            <w:pPr>
              <w:widowControl w:val="0"/>
              <w:spacing w:before="20" w:after="20"/>
              <w:jc w:val="center"/>
              <w:rPr>
                <w:color w:val="000000" w:themeColor="text1"/>
                <w:sz w:val="18"/>
                <w:szCs w:val="18"/>
              </w:rPr>
            </w:pPr>
          </w:p>
        </w:tc>
        <w:tc>
          <w:tcPr>
            <w:tcW w:w="630" w:type="dxa"/>
            <w:vAlign w:val="center"/>
          </w:tcPr>
          <w:p w:rsidR="001935E1" w:rsidRPr="00A45402" w:rsidRDefault="001935E1" w:rsidP="001935E1">
            <w:pPr>
              <w:widowControl w:val="0"/>
              <w:spacing w:before="20" w:after="20"/>
              <w:jc w:val="center"/>
              <w:rPr>
                <w:color w:val="000000" w:themeColor="text1"/>
                <w:sz w:val="18"/>
                <w:szCs w:val="18"/>
              </w:rPr>
            </w:pPr>
          </w:p>
        </w:tc>
        <w:tc>
          <w:tcPr>
            <w:tcW w:w="720" w:type="dxa"/>
            <w:vAlign w:val="center"/>
          </w:tcPr>
          <w:p w:rsidR="001935E1" w:rsidRPr="00A45402" w:rsidRDefault="001935E1" w:rsidP="001935E1">
            <w:pPr>
              <w:widowControl w:val="0"/>
              <w:spacing w:before="20" w:after="20"/>
              <w:jc w:val="center"/>
              <w:rPr>
                <w:color w:val="000000" w:themeColor="text1"/>
                <w:sz w:val="18"/>
                <w:szCs w:val="18"/>
              </w:rPr>
            </w:pPr>
            <w:r w:rsidRPr="00A45402">
              <w:rPr>
                <w:color w:val="000000" w:themeColor="text1"/>
                <w:sz w:val="18"/>
                <w:szCs w:val="18"/>
              </w:rPr>
              <w:t>0.3</w:t>
            </w:r>
            <w:r>
              <w:rPr>
                <w:color w:val="000000" w:themeColor="text1"/>
                <w:sz w:val="18"/>
                <w:szCs w:val="18"/>
              </w:rPr>
              <w:t>7</w:t>
            </w:r>
          </w:p>
        </w:tc>
        <w:tc>
          <w:tcPr>
            <w:tcW w:w="720"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0.19</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0.19</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630" w:type="dxa"/>
            <w:vAlign w:val="center"/>
          </w:tcPr>
          <w:p w:rsidR="001935E1" w:rsidRPr="0007601A" w:rsidRDefault="001935E1" w:rsidP="001935E1">
            <w:pPr>
              <w:widowControl w:val="0"/>
              <w:spacing w:before="20" w:after="20"/>
              <w:jc w:val="center"/>
              <w:rPr>
                <w:color w:val="000000" w:themeColor="text1"/>
                <w:sz w:val="18"/>
                <w:szCs w:val="18"/>
              </w:rPr>
            </w:pPr>
          </w:p>
        </w:tc>
        <w:tc>
          <w:tcPr>
            <w:tcW w:w="540" w:type="dxa"/>
            <w:vAlign w:val="center"/>
          </w:tcPr>
          <w:p w:rsidR="001935E1" w:rsidRPr="0007601A" w:rsidRDefault="001935E1" w:rsidP="001935E1">
            <w:pPr>
              <w:widowControl w:val="0"/>
              <w:spacing w:before="20" w:after="20"/>
              <w:jc w:val="center"/>
              <w:rPr>
                <w:color w:val="000000" w:themeColor="text1"/>
                <w:sz w:val="18"/>
                <w:szCs w:val="18"/>
              </w:rPr>
            </w:pPr>
          </w:p>
        </w:tc>
        <w:tc>
          <w:tcPr>
            <w:tcW w:w="810" w:type="dxa"/>
            <w:vAlign w:val="center"/>
          </w:tcPr>
          <w:p w:rsidR="001935E1" w:rsidRPr="00A45402" w:rsidRDefault="001935E1" w:rsidP="001935E1">
            <w:pPr>
              <w:widowControl w:val="0"/>
              <w:spacing w:before="20" w:after="20"/>
              <w:jc w:val="center"/>
              <w:rPr>
                <w:color w:val="000000" w:themeColor="text1"/>
                <w:sz w:val="18"/>
                <w:szCs w:val="18"/>
              </w:rPr>
            </w:pPr>
          </w:p>
        </w:tc>
      </w:tr>
      <w:tr w:rsidR="001935E1" w:rsidRPr="00A45402" w:rsidTr="00656372">
        <w:trPr>
          <w:trHeight w:val="377"/>
        </w:trPr>
        <w:tc>
          <w:tcPr>
            <w:tcW w:w="2700" w:type="dxa"/>
            <w:vAlign w:val="center"/>
          </w:tcPr>
          <w:p w:rsidR="001935E1" w:rsidRPr="00B67467" w:rsidRDefault="001935E1" w:rsidP="001935E1">
            <w:pPr>
              <w:widowControl w:val="0"/>
              <w:spacing w:before="20" w:after="20"/>
              <w:rPr>
                <w:color w:val="000000" w:themeColor="text1"/>
                <w:sz w:val="18"/>
                <w:szCs w:val="18"/>
              </w:rPr>
            </w:pPr>
            <w:r w:rsidRPr="00B67467">
              <w:rPr>
                <w:color w:val="000000" w:themeColor="text1"/>
                <w:sz w:val="18"/>
                <w:szCs w:val="18"/>
              </w:rPr>
              <w:t>Ethanol Production (004)</w:t>
            </w:r>
          </w:p>
        </w:tc>
        <w:tc>
          <w:tcPr>
            <w:tcW w:w="687" w:type="dxa"/>
            <w:vAlign w:val="center"/>
          </w:tcPr>
          <w:p w:rsidR="001935E1" w:rsidRPr="00A45402" w:rsidRDefault="001935E1" w:rsidP="001935E1">
            <w:pPr>
              <w:widowControl w:val="0"/>
              <w:spacing w:before="20" w:after="20"/>
              <w:jc w:val="center"/>
              <w:rPr>
                <w:color w:val="000000" w:themeColor="text1"/>
                <w:sz w:val="18"/>
                <w:szCs w:val="18"/>
              </w:rPr>
            </w:pPr>
          </w:p>
        </w:tc>
        <w:tc>
          <w:tcPr>
            <w:tcW w:w="630" w:type="dxa"/>
            <w:vAlign w:val="center"/>
          </w:tcPr>
          <w:p w:rsidR="001935E1" w:rsidRPr="00A45402" w:rsidRDefault="001935E1" w:rsidP="001935E1">
            <w:pPr>
              <w:widowControl w:val="0"/>
              <w:spacing w:before="20" w:after="20"/>
              <w:jc w:val="center"/>
              <w:rPr>
                <w:color w:val="000000" w:themeColor="text1"/>
                <w:sz w:val="18"/>
                <w:szCs w:val="18"/>
              </w:rPr>
            </w:pPr>
          </w:p>
        </w:tc>
        <w:tc>
          <w:tcPr>
            <w:tcW w:w="720" w:type="dxa"/>
            <w:vAlign w:val="center"/>
          </w:tcPr>
          <w:p w:rsidR="001935E1" w:rsidRPr="00A45402" w:rsidRDefault="001935E1" w:rsidP="001935E1">
            <w:pPr>
              <w:widowControl w:val="0"/>
              <w:spacing w:before="20" w:after="20"/>
              <w:jc w:val="center"/>
              <w:rPr>
                <w:color w:val="000000" w:themeColor="text1"/>
                <w:sz w:val="18"/>
                <w:szCs w:val="18"/>
              </w:rPr>
            </w:pPr>
          </w:p>
        </w:tc>
        <w:tc>
          <w:tcPr>
            <w:tcW w:w="720" w:type="dxa"/>
            <w:vAlign w:val="center"/>
          </w:tcPr>
          <w:p w:rsidR="001935E1" w:rsidRPr="00A45402"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bCs/>
                <w:color w:val="000000" w:themeColor="text1"/>
                <w:sz w:val="18"/>
                <w:szCs w:val="18"/>
              </w:rPr>
              <w:t>87.6</w:t>
            </w:r>
          </w:p>
        </w:tc>
        <w:tc>
          <w:tcPr>
            <w:tcW w:w="630" w:type="dxa"/>
            <w:vAlign w:val="center"/>
          </w:tcPr>
          <w:p w:rsidR="001935E1" w:rsidRPr="0007601A" w:rsidRDefault="001935E1" w:rsidP="001935E1">
            <w:pPr>
              <w:widowControl w:val="0"/>
              <w:spacing w:before="20" w:after="20"/>
              <w:jc w:val="center"/>
              <w:rPr>
                <w:color w:val="000000" w:themeColor="text1"/>
                <w:sz w:val="18"/>
                <w:szCs w:val="18"/>
              </w:rPr>
            </w:pPr>
          </w:p>
        </w:tc>
        <w:tc>
          <w:tcPr>
            <w:tcW w:w="540" w:type="dxa"/>
            <w:vAlign w:val="center"/>
          </w:tcPr>
          <w:p w:rsidR="001935E1" w:rsidRPr="0007601A" w:rsidRDefault="001935E1" w:rsidP="001935E1">
            <w:pPr>
              <w:widowControl w:val="0"/>
              <w:spacing w:before="20" w:after="20"/>
              <w:jc w:val="center"/>
              <w:rPr>
                <w:color w:val="000000" w:themeColor="text1"/>
                <w:sz w:val="18"/>
                <w:szCs w:val="18"/>
              </w:rPr>
            </w:pPr>
          </w:p>
        </w:tc>
        <w:tc>
          <w:tcPr>
            <w:tcW w:w="810"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124,976</w:t>
            </w:r>
          </w:p>
        </w:tc>
      </w:tr>
      <w:tr w:rsidR="001935E1" w:rsidRPr="00A45402" w:rsidTr="00656372">
        <w:trPr>
          <w:trHeight w:val="332"/>
        </w:trPr>
        <w:tc>
          <w:tcPr>
            <w:tcW w:w="2700" w:type="dxa"/>
            <w:vAlign w:val="center"/>
          </w:tcPr>
          <w:p w:rsidR="001935E1" w:rsidRPr="00B67467" w:rsidRDefault="001935E1" w:rsidP="001935E1">
            <w:pPr>
              <w:widowControl w:val="0"/>
              <w:spacing w:before="20" w:after="20"/>
              <w:rPr>
                <w:color w:val="000000" w:themeColor="text1"/>
                <w:sz w:val="18"/>
                <w:szCs w:val="18"/>
              </w:rPr>
            </w:pPr>
            <w:r w:rsidRPr="00B67467">
              <w:rPr>
                <w:color w:val="000000" w:themeColor="text1"/>
                <w:sz w:val="18"/>
                <w:szCs w:val="18"/>
              </w:rPr>
              <w:t>Storage Tanks (005)</w:t>
            </w:r>
          </w:p>
        </w:tc>
        <w:tc>
          <w:tcPr>
            <w:tcW w:w="687" w:type="dxa"/>
            <w:vAlign w:val="center"/>
          </w:tcPr>
          <w:p w:rsidR="001935E1" w:rsidRPr="00A45402" w:rsidRDefault="001935E1" w:rsidP="001935E1">
            <w:pPr>
              <w:widowControl w:val="0"/>
              <w:spacing w:before="20" w:after="20"/>
              <w:jc w:val="center"/>
              <w:rPr>
                <w:color w:val="000000" w:themeColor="text1"/>
                <w:sz w:val="18"/>
                <w:szCs w:val="18"/>
              </w:rPr>
            </w:pPr>
          </w:p>
        </w:tc>
        <w:tc>
          <w:tcPr>
            <w:tcW w:w="630" w:type="dxa"/>
            <w:vAlign w:val="center"/>
          </w:tcPr>
          <w:p w:rsidR="001935E1" w:rsidRPr="00A45402" w:rsidRDefault="001935E1" w:rsidP="001935E1">
            <w:pPr>
              <w:widowControl w:val="0"/>
              <w:spacing w:before="20" w:after="20"/>
              <w:jc w:val="center"/>
              <w:rPr>
                <w:color w:val="000000" w:themeColor="text1"/>
                <w:sz w:val="18"/>
                <w:szCs w:val="18"/>
              </w:rPr>
            </w:pPr>
          </w:p>
        </w:tc>
        <w:tc>
          <w:tcPr>
            <w:tcW w:w="720" w:type="dxa"/>
            <w:vAlign w:val="center"/>
          </w:tcPr>
          <w:p w:rsidR="001935E1" w:rsidRPr="00A45402" w:rsidRDefault="001935E1" w:rsidP="001935E1">
            <w:pPr>
              <w:widowControl w:val="0"/>
              <w:spacing w:before="20" w:after="20"/>
              <w:jc w:val="center"/>
              <w:rPr>
                <w:color w:val="000000" w:themeColor="text1"/>
                <w:sz w:val="18"/>
                <w:szCs w:val="18"/>
              </w:rPr>
            </w:pPr>
          </w:p>
        </w:tc>
        <w:tc>
          <w:tcPr>
            <w:tcW w:w="720" w:type="dxa"/>
            <w:vAlign w:val="center"/>
          </w:tcPr>
          <w:p w:rsidR="001935E1" w:rsidRPr="00A45402"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3.9</w:t>
            </w:r>
          </w:p>
        </w:tc>
        <w:tc>
          <w:tcPr>
            <w:tcW w:w="630" w:type="dxa"/>
            <w:vAlign w:val="center"/>
          </w:tcPr>
          <w:p w:rsidR="001935E1" w:rsidRPr="0007601A" w:rsidRDefault="001935E1" w:rsidP="001935E1">
            <w:pPr>
              <w:widowControl w:val="0"/>
              <w:spacing w:before="20" w:after="20"/>
              <w:jc w:val="center"/>
              <w:rPr>
                <w:color w:val="000000" w:themeColor="text1"/>
                <w:sz w:val="18"/>
                <w:szCs w:val="18"/>
              </w:rPr>
            </w:pPr>
          </w:p>
        </w:tc>
        <w:tc>
          <w:tcPr>
            <w:tcW w:w="540" w:type="dxa"/>
            <w:vAlign w:val="center"/>
          </w:tcPr>
          <w:p w:rsidR="001935E1" w:rsidRPr="0007601A" w:rsidRDefault="001935E1" w:rsidP="001935E1">
            <w:pPr>
              <w:widowControl w:val="0"/>
              <w:spacing w:before="20" w:after="20"/>
              <w:jc w:val="center"/>
              <w:rPr>
                <w:color w:val="000000" w:themeColor="text1"/>
                <w:sz w:val="18"/>
                <w:szCs w:val="18"/>
              </w:rPr>
            </w:pPr>
          </w:p>
        </w:tc>
        <w:tc>
          <w:tcPr>
            <w:tcW w:w="810" w:type="dxa"/>
            <w:vAlign w:val="center"/>
          </w:tcPr>
          <w:p w:rsidR="001935E1" w:rsidRPr="00A45402" w:rsidRDefault="001935E1" w:rsidP="001935E1">
            <w:pPr>
              <w:widowControl w:val="0"/>
              <w:spacing w:before="20" w:after="20"/>
              <w:jc w:val="center"/>
              <w:rPr>
                <w:color w:val="000000" w:themeColor="text1"/>
                <w:sz w:val="18"/>
                <w:szCs w:val="18"/>
              </w:rPr>
            </w:pPr>
          </w:p>
        </w:tc>
      </w:tr>
      <w:tr w:rsidR="001935E1" w:rsidRPr="00A45402" w:rsidTr="001935E1">
        <w:trPr>
          <w:trHeight w:val="368"/>
        </w:trPr>
        <w:tc>
          <w:tcPr>
            <w:tcW w:w="2700" w:type="dxa"/>
            <w:vAlign w:val="center"/>
          </w:tcPr>
          <w:p w:rsidR="001935E1" w:rsidRPr="00B67467" w:rsidRDefault="001935E1" w:rsidP="001935E1">
            <w:pPr>
              <w:widowControl w:val="0"/>
              <w:spacing w:before="20" w:after="20"/>
              <w:rPr>
                <w:color w:val="000000" w:themeColor="text1"/>
                <w:sz w:val="18"/>
                <w:szCs w:val="18"/>
              </w:rPr>
            </w:pPr>
            <w:r w:rsidRPr="00B67467">
              <w:rPr>
                <w:color w:val="000000" w:themeColor="text1"/>
                <w:sz w:val="18"/>
                <w:szCs w:val="18"/>
              </w:rPr>
              <w:t>Product Loadout and Flare (006)</w:t>
            </w:r>
          </w:p>
        </w:tc>
        <w:tc>
          <w:tcPr>
            <w:tcW w:w="687" w:type="dxa"/>
            <w:vAlign w:val="center"/>
          </w:tcPr>
          <w:p w:rsidR="001935E1" w:rsidRPr="00A45402" w:rsidRDefault="001935E1" w:rsidP="001935E1">
            <w:pPr>
              <w:widowControl w:val="0"/>
              <w:spacing w:before="20" w:after="20"/>
              <w:jc w:val="center"/>
              <w:rPr>
                <w:color w:val="000000" w:themeColor="text1"/>
                <w:sz w:val="18"/>
                <w:szCs w:val="18"/>
              </w:rPr>
            </w:pPr>
            <w:r w:rsidRPr="00A45402">
              <w:rPr>
                <w:color w:val="000000" w:themeColor="text1"/>
                <w:sz w:val="18"/>
                <w:szCs w:val="18"/>
              </w:rPr>
              <w:t>5.64</w:t>
            </w:r>
          </w:p>
        </w:tc>
        <w:tc>
          <w:tcPr>
            <w:tcW w:w="630" w:type="dxa"/>
            <w:vAlign w:val="center"/>
          </w:tcPr>
          <w:p w:rsidR="001935E1" w:rsidRPr="00A45402" w:rsidRDefault="001935E1" w:rsidP="001935E1">
            <w:pPr>
              <w:widowControl w:val="0"/>
              <w:spacing w:before="20" w:after="20"/>
              <w:jc w:val="center"/>
              <w:rPr>
                <w:color w:val="000000" w:themeColor="text1"/>
                <w:sz w:val="18"/>
                <w:szCs w:val="18"/>
              </w:rPr>
            </w:pPr>
            <w:r w:rsidRPr="00A45402">
              <w:rPr>
                <w:color w:val="000000" w:themeColor="text1"/>
                <w:sz w:val="18"/>
                <w:szCs w:val="18"/>
              </w:rPr>
              <w:t>1.04</w:t>
            </w:r>
          </w:p>
        </w:tc>
        <w:tc>
          <w:tcPr>
            <w:tcW w:w="720" w:type="dxa"/>
            <w:vAlign w:val="center"/>
          </w:tcPr>
          <w:p w:rsidR="001935E1" w:rsidRPr="00A45402" w:rsidRDefault="001935E1" w:rsidP="001935E1">
            <w:pPr>
              <w:widowControl w:val="0"/>
              <w:spacing w:before="20" w:after="20"/>
              <w:jc w:val="center"/>
              <w:rPr>
                <w:color w:val="000000" w:themeColor="text1"/>
                <w:sz w:val="18"/>
                <w:szCs w:val="18"/>
              </w:rPr>
            </w:pPr>
            <w:r w:rsidRPr="00A45402">
              <w:rPr>
                <w:color w:val="000000" w:themeColor="text1"/>
                <w:sz w:val="18"/>
                <w:szCs w:val="18"/>
              </w:rPr>
              <w:t>0.052</w:t>
            </w:r>
          </w:p>
        </w:tc>
        <w:tc>
          <w:tcPr>
            <w:tcW w:w="720"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0.052</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0.052</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0.009</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7.0</w:t>
            </w:r>
          </w:p>
        </w:tc>
        <w:tc>
          <w:tcPr>
            <w:tcW w:w="630" w:type="dxa"/>
            <w:vAlign w:val="center"/>
          </w:tcPr>
          <w:p w:rsidR="001935E1" w:rsidRPr="0007601A" w:rsidRDefault="001935E1" w:rsidP="001935E1">
            <w:pPr>
              <w:widowControl w:val="0"/>
              <w:spacing w:before="20" w:after="20"/>
              <w:jc w:val="center"/>
              <w:rPr>
                <w:color w:val="000000" w:themeColor="text1"/>
                <w:sz w:val="18"/>
                <w:szCs w:val="18"/>
              </w:rPr>
            </w:pPr>
          </w:p>
        </w:tc>
        <w:tc>
          <w:tcPr>
            <w:tcW w:w="540" w:type="dxa"/>
            <w:vAlign w:val="center"/>
          </w:tcPr>
          <w:p w:rsidR="001935E1" w:rsidRPr="0007601A" w:rsidRDefault="001935E1" w:rsidP="001935E1">
            <w:pPr>
              <w:widowControl w:val="0"/>
              <w:spacing w:before="20" w:after="20"/>
              <w:jc w:val="center"/>
              <w:rPr>
                <w:color w:val="000000" w:themeColor="text1"/>
                <w:sz w:val="18"/>
                <w:szCs w:val="18"/>
              </w:rPr>
            </w:pPr>
          </w:p>
        </w:tc>
        <w:tc>
          <w:tcPr>
            <w:tcW w:w="810"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2,429</w:t>
            </w:r>
          </w:p>
        </w:tc>
      </w:tr>
      <w:tr w:rsidR="001935E1" w:rsidRPr="00A45402" w:rsidTr="001935E1">
        <w:trPr>
          <w:trHeight w:val="422"/>
        </w:trPr>
        <w:tc>
          <w:tcPr>
            <w:tcW w:w="2700" w:type="dxa"/>
            <w:vAlign w:val="center"/>
          </w:tcPr>
          <w:p w:rsidR="001935E1" w:rsidRPr="00B67467" w:rsidRDefault="001935E1" w:rsidP="001935E1">
            <w:pPr>
              <w:widowControl w:val="0"/>
              <w:spacing w:before="20" w:after="20"/>
              <w:rPr>
                <w:color w:val="000000" w:themeColor="text1"/>
                <w:sz w:val="18"/>
                <w:szCs w:val="18"/>
              </w:rPr>
            </w:pPr>
            <w:r w:rsidRPr="00B67467">
              <w:rPr>
                <w:color w:val="000000" w:themeColor="text1"/>
                <w:sz w:val="18"/>
                <w:szCs w:val="18"/>
              </w:rPr>
              <w:t>Miscellaneous Storage Silos (007)</w:t>
            </w:r>
          </w:p>
        </w:tc>
        <w:tc>
          <w:tcPr>
            <w:tcW w:w="687" w:type="dxa"/>
            <w:vAlign w:val="center"/>
          </w:tcPr>
          <w:p w:rsidR="001935E1" w:rsidRPr="00A45402" w:rsidRDefault="001935E1" w:rsidP="001935E1">
            <w:pPr>
              <w:widowControl w:val="0"/>
              <w:spacing w:before="20" w:after="20"/>
              <w:jc w:val="center"/>
              <w:rPr>
                <w:color w:val="000000" w:themeColor="text1"/>
                <w:sz w:val="18"/>
                <w:szCs w:val="18"/>
              </w:rPr>
            </w:pPr>
          </w:p>
        </w:tc>
        <w:tc>
          <w:tcPr>
            <w:tcW w:w="630" w:type="dxa"/>
            <w:vAlign w:val="center"/>
          </w:tcPr>
          <w:p w:rsidR="001935E1" w:rsidRPr="00A45402" w:rsidRDefault="001935E1" w:rsidP="001935E1">
            <w:pPr>
              <w:widowControl w:val="0"/>
              <w:spacing w:before="20" w:after="20"/>
              <w:jc w:val="center"/>
              <w:rPr>
                <w:color w:val="000000" w:themeColor="text1"/>
                <w:sz w:val="18"/>
                <w:szCs w:val="18"/>
              </w:rPr>
            </w:pPr>
          </w:p>
        </w:tc>
        <w:tc>
          <w:tcPr>
            <w:tcW w:w="720" w:type="dxa"/>
            <w:vAlign w:val="center"/>
          </w:tcPr>
          <w:p w:rsidR="001935E1" w:rsidRPr="00A45402" w:rsidRDefault="001935E1" w:rsidP="001935E1">
            <w:pPr>
              <w:widowControl w:val="0"/>
              <w:spacing w:before="20" w:after="20"/>
              <w:jc w:val="center"/>
              <w:rPr>
                <w:color w:val="000000" w:themeColor="text1"/>
                <w:sz w:val="18"/>
                <w:szCs w:val="18"/>
              </w:rPr>
            </w:pPr>
            <w:r w:rsidRPr="00A45402">
              <w:rPr>
                <w:color w:val="000000" w:themeColor="text1"/>
                <w:sz w:val="18"/>
                <w:szCs w:val="18"/>
              </w:rPr>
              <w:t>0.</w:t>
            </w:r>
            <w:r>
              <w:rPr>
                <w:color w:val="000000" w:themeColor="text1"/>
                <w:sz w:val="18"/>
                <w:szCs w:val="18"/>
              </w:rPr>
              <w:t>85</w:t>
            </w:r>
          </w:p>
        </w:tc>
        <w:tc>
          <w:tcPr>
            <w:tcW w:w="720"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0.85</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0.85</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630" w:type="dxa"/>
            <w:vAlign w:val="center"/>
          </w:tcPr>
          <w:p w:rsidR="001935E1" w:rsidRPr="0007601A" w:rsidRDefault="001935E1" w:rsidP="001935E1">
            <w:pPr>
              <w:widowControl w:val="0"/>
              <w:spacing w:before="20" w:after="20"/>
              <w:jc w:val="center"/>
              <w:rPr>
                <w:color w:val="000000" w:themeColor="text1"/>
                <w:sz w:val="18"/>
                <w:szCs w:val="18"/>
              </w:rPr>
            </w:pPr>
          </w:p>
        </w:tc>
        <w:tc>
          <w:tcPr>
            <w:tcW w:w="540" w:type="dxa"/>
            <w:vAlign w:val="center"/>
          </w:tcPr>
          <w:p w:rsidR="001935E1" w:rsidRPr="0007601A" w:rsidRDefault="001935E1" w:rsidP="001935E1">
            <w:pPr>
              <w:widowControl w:val="0"/>
              <w:spacing w:before="20" w:after="20"/>
              <w:jc w:val="center"/>
              <w:rPr>
                <w:color w:val="000000" w:themeColor="text1"/>
                <w:sz w:val="18"/>
                <w:szCs w:val="18"/>
              </w:rPr>
            </w:pPr>
          </w:p>
        </w:tc>
        <w:tc>
          <w:tcPr>
            <w:tcW w:w="810" w:type="dxa"/>
            <w:vAlign w:val="center"/>
          </w:tcPr>
          <w:p w:rsidR="001935E1" w:rsidRPr="00A45402" w:rsidRDefault="001935E1" w:rsidP="001935E1">
            <w:pPr>
              <w:widowControl w:val="0"/>
              <w:spacing w:before="20" w:after="20"/>
              <w:jc w:val="center"/>
              <w:rPr>
                <w:color w:val="000000" w:themeColor="text1"/>
                <w:sz w:val="18"/>
                <w:szCs w:val="18"/>
              </w:rPr>
            </w:pPr>
          </w:p>
        </w:tc>
      </w:tr>
      <w:tr w:rsidR="001935E1" w:rsidRPr="00A45402" w:rsidTr="00656372">
        <w:trPr>
          <w:trHeight w:val="368"/>
        </w:trPr>
        <w:tc>
          <w:tcPr>
            <w:tcW w:w="2700" w:type="dxa"/>
            <w:vAlign w:val="center"/>
          </w:tcPr>
          <w:p w:rsidR="001935E1" w:rsidRPr="00B67467" w:rsidRDefault="001935E1" w:rsidP="001935E1">
            <w:pPr>
              <w:widowControl w:val="0"/>
              <w:spacing w:before="20" w:after="20"/>
              <w:rPr>
                <w:color w:val="000000" w:themeColor="text1"/>
                <w:sz w:val="18"/>
                <w:szCs w:val="18"/>
              </w:rPr>
            </w:pPr>
            <w:r w:rsidRPr="00B67467">
              <w:rPr>
                <w:color w:val="000000" w:themeColor="text1"/>
                <w:sz w:val="18"/>
                <w:szCs w:val="18"/>
              </w:rPr>
              <w:t>Emergency Equipment (008)</w:t>
            </w:r>
          </w:p>
        </w:tc>
        <w:tc>
          <w:tcPr>
            <w:tcW w:w="687"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1.29</w:t>
            </w:r>
          </w:p>
        </w:tc>
        <w:tc>
          <w:tcPr>
            <w:tcW w:w="630"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8.84</w:t>
            </w:r>
          </w:p>
        </w:tc>
        <w:tc>
          <w:tcPr>
            <w:tcW w:w="720"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0.087</w:t>
            </w:r>
          </w:p>
        </w:tc>
        <w:tc>
          <w:tcPr>
            <w:tcW w:w="720" w:type="dxa"/>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0.087</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0.087</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0.0063</w:t>
            </w:r>
          </w:p>
        </w:tc>
        <w:tc>
          <w:tcPr>
            <w:tcW w:w="720" w:type="dxa"/>
            <w:vAlign w:val="center"/>
          </w:tcPr>
          <w:p w:rsidR="001935E1" w:rsidRPr="0007601A" w:rsidRDefault="001935E1" w:rsidP="001935E1">
            <w:pPr>
              <w:widowControl w:val="0"/>
              <w:spacing w:before="20" w:after="20"/>
              <w:jc w:val="center"/>
              <w:rPr>
                <w:color w:val="000000" w:themeColor="text1"/>
                <w:sz w:val="18"/>
                <w:szCs w:val="18"/>
              </w:rPr>
            </w:pPr>
          </w:p>
        </w:tc>
        <w:tc>
          <w:tcPr>
            <w:tcW w:w="720" w:type="dxa"/>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0.26</w:t>
            </w:r>
          </w:p>
        </w:tc>
        <w:tc>
          <w:tcPr>
            <w:tcW w:w="630" w:type="dxa"/>
            <w:vAlign w:val="center"/>
          </w:tcPr>
          <w:p w:rsidR="001935E1" w:rsidRPr="0007601A" w:rsidRDefault="001935E1" w:rsidP="001935E1">
            <w:pPr>
              <w:widowControl w:val="0"/>
              <w:spacing w:before="20" w:after="20"/>
              <w:jc w:val="center"/>
              <w:rPr>
                <w:color w:val="000000" w:themeColor="text1"/>
                <w:sz w:val="18"/>
                <w:szCs w:val="18"/>
              </w:rPr>
            </w:pPr>
          </w:p>
        </w:tc>
        <w:tc>
          <w:tcPr>
            <w:tcW w:w="540" w:type="dxa"/>
            <w:vAlign w:val="center"/>
          </w:tcPr>
          <w:p w:rsidR="001935E1" w:rsidRPr="0007601A" w:rsidRDefault="001935E1" w:rsidP="001935E1">
            <w:pPr>
              <w:widowControl w:val="0"/>
              <w:spacing w:before="20" w:after="20"/>
              <w:jc w:val="center"/>
              <w:rPr>
                <w:color w:val="000000" w:themeColor="text1"/>
                <w:sz w:val="18"/>
                <w:szCs w:val="18"/>
              </w:rPr>
            </w:pPr>
          </w:p>
        </w:tc>
        <w:tc>
          <w:tcPr>
            <w:tcW w:w="810" w:type="dxa"/>
            <w:vAlign w:val="center"/>
          </w:tcPr>
          <w:p w:rsidR="001935E1" w:rsidRPr="00A45402" w:rsidRDefault="001935E1" w:rsidP="001935E1">
            <w:pPr>
              <w:widowControl w:val="0"/>
              <w:spacing w:before="20" w:after="20"/>
              <w:jc w:val="center"/>
              <w:rPr>
                <w:color w:val="000000" w:themeColor="text1"/>
                <w:sz w:val="18"/>
                <w:szCs w:val="18"/>
              </w:rPr>
            </w:pPr>
          </w:p>
        </w:tc>
      </w:tr>
      <w:tr w:rsidR="001935E1" w:rsidRPr="00A45402" w:rsidTr="001935E1">
        <w:trPr>
          <w:trHeight w:val="422"/>
        </w:trPr>
        <w:tc>
          <w:tcPr>
            <w:tcW w:w="2700" w:type="dxa"/>
            <w:tcBorders>
              <w:bottom w:val="single" w:sz="12" w:space="0" w:color="auto"/>
            </w:tcBorders>
            <w:vAlign w:val="center"/>
          </w:tcPr>
          <w:p w:rsidR="001935E1" w:rsidRPr="00B67467" w:rsidRDefault="001935E1" w:rsidP="001935E1">
            <w:pPr>
              <w:widowControl w:val="0"/>
              <w:spacing w:before="20" w:after="20"/>
              <w:rPr>
                <w:color w:val="000000" w:themeColor="text1"/>
                <w:sz w:val="18"/>
                <w:szCs w:val="18"/>
              </w:rPr>
            </w:pPr>
            <w:r w:rsidRPr="00B67467">
              <w:rPr>
                <w:color w:val="000000" w:themeColor="text1"/>
                <w:sz w:val="18"/>
                <w:szCs w:val="18"/>
              </w:rPr>
              <w:t xml:space="preserve">Fugitive Equipment Leaks (009) </w:t>
            </w:r>
          </w:p>
        </w:tc>
        <w:tc>
          <w:tcPr>
            <w:tcW w:w="687" w:type="dxa"/>
            <w:tcBorders>
              <w:bottom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p>
        </w:tc>
        <w:tc>
          <w:tcPr>
            <w:tcW w:w="630" w:type="dxa"/>
            <w:tcBorders>
              <w:bottom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p>
        </w:tc>
        <w:tc>
          <w:tcPr>
            <w:tcW w:w="720" w:type="dxa"/>
            <w:tcBorders>
              <w:bottom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p>
        </w:tc>
        <w:tc>
          <w:tcPr>
            <w:tcW w:w="720" w:type="dxa"/>
            <w:tcBorders>
              <w:bottom w:val="single" w:sz="12" w:space="0" w:color="auto"/>
            </w:tcBorders>
            <w:vAlign w:val="center"/>
          </w:tcPr>
          <w:p w:rsidR="001935E1" w:rsidRPr="00A45402" w:rsidRDefault="001935E1" w:rsidP="001935E1">
            <w:pPr>
              <w:widowControl w:val="0"/>
              <w:spacing w:before="20" w:after="20"/>
              <w:jc w:val="center"/>
              <w:rPr>
                <w:strike/>
                <w:color w:val="000000" w:themeColor="text1"/>
                <w:sz w:val="18"/>
                <w:szCs w:val="18"/>
              </w:rPr>
            </w:pPr>
          </w:p>
        </w:tc>
        <w:tc>
          <w:tcPr>
            <w:tcW w:w="720" w:type="dxa"/>
            <w:tcBorders>
              <w:bottom w:val="single" w:sz="12" w:space="0" w:color="auto"/>
            </w:tcBorders>
            <w:vAlign w:val="center"/>
          </w:tcPr>
          <w:p w:rsidR="001935E1" w:rsidRPr="0007601A" w:rsidRDefault="001935E1" w:rsidP="001935E1">
            <w:pPr>
              <w:widowControl w:val="0"/>
              <w:spacing w:before="20" w:after="20"/>
              <w:jc w:val="center"/>
              <w:rPr>
                <w:strike/>
                <w:color w:val="000000" w:themeColor="text1"/>
                <w:sz w:val="18"/>
                <w:szCs w:val="18"/>
              </w:rPr>
            </w:pPr>
          </w:p>
        </w:tc>
        <w:tc>
          <w:tcPr>
            <w:tcW w:w="720" w:type="dxa"/>
            <w:tcBorders>
              <w:bottom w:val="single" w:sz="12" w:space="0" w:color="auto"/>
            </w:tcBorders>
            <w:vAlign w:val="center"/>
          </w:tcPr>
          <w:p w:rsidR="001935E1" w:rsidRPr="0007601A" w:rsidRDefault="001935E1" w:rsidP="001935E1">
            <w:pPr>
              <w:widowControl w:val="0"/>
              <w:spacing w:before="20" w:after="20"/>
              <w:jc w:val="center"/>
              <w:rPr>
                <w:color w:val="000000" w:themeColor="text1"/>
                <w:sz w:val="18"/>
                <w:szCs w:val="18"/>
              </w:rPr>
            </w:pPr>
          </w:p>
        </w:tc>
        <w:tc>
          <w:tcPr>
            <w:tcW w:w="720" w:type="dxa"/>
            <w:tcBorders>
              <w:bottom w:val="single" w:sz="12" w:space="0" w:color="auto"/>
            </w:tcBorders>
            <w:vAlign w:val="center"/>
          </w:tcPr>
          <w:p w:rsidR="001935E1" w:rsidRPr="0007601A" w:rsidRDefault="001935E1" w:rsidP="001935E1">
            <w:pPr>
              <w:widowControl w:val="0"/>
              <w:spacing w:before="20" w:after="20"/>
              <w:jc w:val="center"/>
              <w:rPr>
                <w:color w:val="000000" w:themeColor="text1"/>
                <w:sz w:val="18"/>
                <w:szCs w:val="18"/>
              </w:rPr>
            </w:pPr>
          </w:p>
        </w:tc>
        <w:tc>
          <w:tcPr>
            <w:tcW w:w="720" w:type="dxa"/>
            <w:tcBorders>
              <w:bottom w:val="single" w:sz="12" w:space="0" w:color="auto"/>
            </w:tcBorders>
            <w:vAlign w:val="center"/>
          </w:tcPr>
          <w:p w:rsidR="001935E1" w:rsidRPr="0007601A" w:rsidRDefault="001935E1" w:rsidP="001935E1">
            <w:pPr>
              <w:widowControl w:val="0"/>
              <w:spacing w:before="20" w:after="20"/>
              <w:jc w:val="center"/>
              <w:rPr>
                <w:color w:val="000000" w:themeColor="text1"/>
                <w:sz w:val="18"/>
                <w:szCs w:val="18"/>
              </w:rPr>
            </w:pPr>
            <w:r w:rsidRPr="0007601A">
              <w:rPr>
                <w:color w:val="000000" w:themeColor="text1"/>
                <w:sz w:val="18"/>
                <w:szCs w:val="18"/>
              </w:rPr>
              <w:t>6.5</w:t>
            </w:r>
          </w:p>
        </w:tc>
        <w:tc>
          <w:tcPr>
            <w:tcW w:w="630" w:type="dxa"/>
            <w:tcBorders>
              <w:bottom w:val="single" w:sz="12" w:space="0" w:color="auto"/>
            </w:tcBorders>
            <w:vAlign w:val="center"/>
          </w:tcPr>
          <w:p w:rsidR="001935E1" w:rsidRPr="0007601A" w:rsidRDefault="001935E1" w:rsidP="001935E1">
            <w:pPr>
              <w:widowControl w:val="0"/>
              <w:spacing w:before="20" w:after="20"/>
              <w:jc w:val="center"/>
              <w:rPr>
                <w:color w:val="000000" w:themeColor="text1"/>
                <w:sz w:val="18"/>
                <w:szCs w:val="18"/>
              </w:rPr>
            </w:pPr>
          </w:p>
        </w:tc>
        <w:tc>
          <w:tcPr>
            <w:tcW w:w="540" w:type="dxa"/>
            <w:tcBorders>
              <w:bottom w:val="single" w:sz="12" w:space="0" w:color="auto"/>
            </w:tcBorders>
            <w:vAlign w:val="center"/>
          </w:tcPr>
          <w:p w:rsidR="001935E1" w:rsidRPr="0007601A" w:rsidRDefault="001935E1" w:rsidP="001935E1">
            <w:pPr>
              <w:widowControl w:val="0"/>
              <w:spacing w:before="20" w:after="20"/>
              <w:jc w:val="center"/>
              <w:rPr>
                <w:color w:val="000000" w:themeColor="text1"/>
                <w:sz w:val="18"/>
                <w:szCs w:val="18"/>
              </w:rPr>
            </w:pPr>
          </w:p>
        </w:tc>
        <w:tc>
          <w:tcPr>
            <w:tcW w:w="810" w:type="dxa"/>
            <w:tcBorders>
              <w:bottom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p>
        </w:tc>
      </w:tr>
      <w:tr w:rsidR="001935E1" w:rsidRPr="00A45402" w:rsidTr="00656372">
        <w:trPr>
          <w:trHeight w:val="348"/>
        </w:trPr>
        <w:tc>
          <w:tcPr>
            <w:tcW w:w="2700" w:type="dxa"/>
            <w:tcBorders>
              <w:top w:val="single" w:sz="12" w:space="0" w:color="auto"/>
              <w:bottom w:val="single" w:sz="12" w:space="0" w:color="auto"/>
            </w:tcBorders>
            <w:vAlign w:val="center"/>
          </w:tcPr>
          <w:p w:rsidR="001935E1" w:rsidRPr="00B67467" w:rsidRDefault="001935E1" w:rsidP="001935E1">
            <w:pPr>
              <w:widowControl w:val="0"/>
              <w:spacing w:before="20" w:after="20"/>
              <w:rPr>
                <w:color w:val="000000" w:themeColor="text1"/>
                <w:sz w:val="18"/>
                <w:szCs w:val="18"/>
              </w:rPr>
            </w:pPr>
            <w:r w:rsidRPr="00B67467">
              <w:rPr>
                <w:b/>
                <w:color w:val="000000" w:themeColor="text1"/>
                <w:sz w:val="18"/>
                <w:szCs w:val="18"/>
              </w:rPr>
              <w:t>Totals</w:t>
            </w:r>
          </w:p>
        </w:tc>
        <w:tc>
          <w:tcPr>
            <w:tcW w:w="687"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rPr>
            </w:pPr>
            <w:r w:rsidRPr="00BD60AC">
              <w:rPr>
                <w:b/>
                <w:color w:val="000000" w:themeColor="text1"/>
                <w:sz w:val="18"/>
                <w:szCs w:val="18"/>
              </w:rPr>
              <w:t>559.8</w:t>
            </w:r>
          </w:p>
        </w:tc>
        <w:tc>
          <w:tcPr>
            <w:tcW w:w="630"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rPr>
            </w:pPr>
            <w:r w:rsidRPr="00BD60AC">
              <w:rPr>
                <w:b/>
                <w:color w:val="000000" w:themeColor="text1"/>
                <w:sz w:val="18"/>
                <w:szCs w:val="18"/>
              </w:rPr>
              <w:fldChar w:fldCharType="begin"/>
            </w:r>
            <w:r w:rsidRPr="00BD60AC">
              <w:rPr>
                <w:b/>
                <w:color w:val="000000" w:themeColor="text1"/>
                <w:sz w:val="18"/>
                <w:szCs w:val="18"/>
              </w:rPr>
              <w:instrText xml:space="preserve"> =SUM(ABOVE) \# "0.0" </w:instrText>
            </w:r>
            <w:r w:rsidRPr="00BD60AC">
              <w:rPr>
                <w:b/>
                <w:color w:val="000000" w:themeColor="text1"/>
                <w:sz w:val="18"/>
                <w:szCs w:val="18"/>
              </w:rPr>
              <w:fldChar w:fldCharType="separate"/>
            </w:r>
            <w:r w:rsidR="005A4C55">
              <w:rPr>
                <w:b/>
                <w:noProof/>
                <w:color w:val="000000" w:themeColor="text1"/>
                <w:sz w:val="18"/>
                <w:szCs w:val="18"/>
              </w:rPr>
              <w:t>8.8</w:t>
            </w:r>
            <w:r w:rsidRPr="00BD60AC">
              <w:rPr>
                <w:b/>
                <w:color w:val="000000" w:themeColor="text1"/>
                <w:sz w:val="18"/>
                <w:szCs w:val="18"/>
              </w:rPr>
              <w:fldChar w:fldCharType="end"/>
            </w:r>
          </w:p>
        </w:tc>
        <w:tc>
          <w:tcPr>
            <w:tcW w:w="720"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rPr>
            </w:pPr>
            <w:r>
              <w:rPr>
                <w:b/>
                <w:color w:val="000000" w:themeColor="text1"/>
                <w:sz w:val="18"/>
                <w:szCs w:val="18"/>
              </w:rPr>
              <w:t>43.3</w:t>
            </w:r>
          </w:p>
        </w:tc>
        <w:tc>
          <w:tcPr>
            <w:tcW w:w="720"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rPr>
            </w:pPr>
            <w:r>
              <w:rPr>
                <w:b/>
                <w:color w:val="000000" w:themeColor="text1"/>
                <w:sz w:val="18"/>
                <w:szCs w:val="18"/>
              </w:rPr>
              <w:t>54.4</w:t>
            </w:r>
          </w:p>
        </w:tc>
        <w:tc>
          <w:tcPr>
            <w:tcW w:w="720" w:type="dxa"/>
            <w:tcBorders>
              <w:top w:val="single" w:sz="12" w:space="0" w:color="auto"/>
              <w:bottom w:val="single" w:sz="12" w:space="0" w:color="auto"/>
            </w:tcBorders>
            <w:vAlign w:val="center"/>
          </w:tcPr>
          <w:p w:rsidR="001935E1" w:rsidRPr="0007601A" w:rsidRDefault="001935E1" w:rsidP="001935E1">
            <w:pPr>
              <w:widowControl w:val="0"/>
              <w:spacing w:before="20" w:after="20"/>
              <w:jc w:val="center"/>
              <w:rPr>
                <w:b/>
                <w:color w:val="000000" w:themeColor="text1"/>
                <w:sz w:val="18"/>
                <w:szCs w:val="18"/>
              </w:rPr>
            </w:pPr>
            <w:r w:rsidRPr="0007601A">
              <w:rPr>
                <w:b/>
                <w:color w:val="000000" w:themeColor="text1"/>
                <w:sz w:val="18"/>
                <w:szCs w:val="18"/>
              </w:rPr>
              <w:t>42.0</w:t>
            </w:r>
          </w:p>
        </w:tc>
        <w:tc>
          <w:tcPr>
            <w:tcW w:w="720" w:type="dxa"/>
            <w:tcBorders>
              <w:top w:val="single" w:sz="12" w:space="0" w:color="auto"/>
              <w:bottom w:val="single" w:sz="12" w:space="0" w:color="auto"/>
            </w:tcBorders>
            <w:vAlign w:val="center"/>
          </w:tcPr>
          <w:p w:rsidR="001935E1" w:rsidRPr="0007601A" w:rsidRDefault="001935E1" w:rsidP="001935E1">
            <w:pPr>
              <w:widowControl w:val="0"/>
              <w:spacing w:before="20" w:after="20"/>
              <w:jc w:val="center"/>
              <w:rPr>
                <w:b/>
                <w:color w:val="000000" w:themeColor="text1"/>
                <w:sz w:val="18"/>
                <w:szCs w:val="18"/>
                <w:vertAlign w:val="superscript"/>
              </w:rPr>
            </w:pPr>
            <w:r w:rsidRPr="0007601A">
              <w:rPr>
                <w:b/>
                <w:color w:val="000000" w:themeColor="text1"/>
                <w:sz w:val="18"/>
                <w:szCs w:val="18"/>
              </w:rPr>
              <w:t>200.4</w:t>
            </w:r>
          </w:p>
        </w:tc>
        <w:tc>
          <w:tcPr>
            <w:tcW w:w="720" w:type="dxa"/>
            <w:tcBorders>
              <w:top w:val="single" w:sz="12" w:space="0" w:color="auto"/>
              <w:bottom w:val="single" w:sz="12" w:space="0" w:color="auto"/>
            </w:tcBorders>
            <w:vAlign w:val="center"/>
          </w:tcPr>
          <w:p w:rsidR="001935E1" w:rsidRPr="0007601A" w:rsidRDefault="001935E1" w:rsidP="001935E1">
            <w:pPr>
              <w:widowControl w:val="0"/>
              <w:spacing w:before="20" w:after="20"/>
              <w:jc w:val="center"/>
              <w:rPr>
                <w:b/>
                <w:color w:val="000000" w:themeColor="text1"/>
                <w:sz w:val="18"/>
                <w:szCs w:val="18"/>
              </w:rPr>
            </w:pPr>
            <w:r w:rsidRPr="0007601A">
              <w:rPr>
                <w:b/>
                <w:color w:val="000000" w:themeColor="text1"/>
                <w:sz w:val="18"/>
                <w:szCs w:val="18"/>
              </w:rPr>
              <w:t>6.8</w:t>
            </w:r>
          </w:p>
        </w:tc>
        <w:tc>
          <w:tcPr>
            <w:tcW w:w="720" w:type="dxa"/>
            <w:tcBorders>
              <w:top w:val="single" w:sz="12" w:space="0" w:color="auto"/>
              <w:bottom w:val="single" w:sz="12" w:space="0" w:color="auto"/>
            </w:tcBorders>
            <w:vAlign w:val="center"/>
          </w:tcPr>
          <w:p w:rsidR="001935E1" w:rsidRPr="0007601A" w:rsidRDefault="001935E1" w:rsidP="001935E1">
            <w:pPr>
              <w:widowControl w:val="0"/>
              <w:spacing w:before="20" w:after="20"/>
              <w:jc w:val="center"/>
              <w:rPr>
                <w:b/>
                <w:color w:val="000000" w:themeColor="text1"/>
                <w:sz w:val="18"/>
                <w:szCs w:val="18"/>
              </w:rPr>
            </w:pPr>
            <w:r w:rsidRPr="0007601A">
              <w:rPr>
                <w:b/>
                <w:color w:val="000000" w:themeColor="text1"/>
                <w:sz w:val="18"/>
                <w:szCs w:val="18"/>
              </w:rPr>
              <w:t>136.6</w:t>
            </w:r>
          </w:p>
        </w:tc>
        <w:tc>
          <w:tcPr>
            <w:tcW w:w="630" w:type="dxa"/>
            <w:tcBorders>
              <w:top w:val="single" w:sz="12" w:space="0" w:color="auto"/>
              <w:bottom w:val="single" w:sz="12" w:space="0" w:color="auto"/>
            </w:tcBorders>
            <w:vAlign w:val="center"/>
          </w:tcPr>
          <w:p w:rsidR="001935E1" w:rsidRPr="0007601A" w:rsidRDefault="001935E1" w:rsidP="001935E1">
            <w:pPr>
              <w:widowControl w:val="0"/>
              <w:spacing w:before="20" w:after="20"/>
              <w:jc w:val="center"/>
              <w:rPr>
                <w:b/>
                <w:color w:val="000000" w:themeColor="text1"/>
                <w:sz w:val="18"/>
                <w:szCs w:val="18"/>
              </w:rPr>
            </w:pPr>
            <w:r w:rsidRPr="0007601A">
              <w:rPr>
                <w:b/>
                <w:color w:val="000000" w:themeColor="text1"/>
                <w:sz w:val="18"/>
                <w:szCs w:val="18"/>
              </w:rPr>
              <w:t>0.025</w:t>
            </w:r>
          </w:p>
        </w:tc>
        <w:tc>
          <w:tcPr>
            <w:tcW w:w="540" w:type="dxa"/>
            <w:tcBorders>
              <w:top w:val="single" w:sz="12" w:space="0" w:color="auto"/>
              <w:bottom w:val="single" w:sz="12" w:space="0" w:color="auto"/>
            </w:tcBorders>
            <w:vAlign w:val="center"/>
          </w:tcPr>
          <w:p w:rsidR="001935E1" w:rsidRPr="0007601A" w:rsidRDefault="001935E1" w:rsidP="001935E1">
            <w:pPr>
              <w:widowControl w:val="0"/>
              <w:spacing w:before="20" w:after="20"/>
              <w:jc w:val="center"/>
              <w:rPr>
                <w:b/>
                <w:color w:val="000000" w:themeColor="text1"/>
                <w:sz w:val="18"/>
                <w:szCs w:val="18"/>
              </w:rPr>
            </w:pPr>
            <w:r w:rsidRPr="0007601A">
              <w:rPr>
                <w:b/>
                <w:color w:val="000000" w:themeColor="text1"/>
                <w:sz w:val="18"/>
                <w:szCs w:val="18"/>
              </w:rPr>
              <w:t>0.18</w:t>
            </w:r>
          </w:p>
        </w:tc>
        <w:tc>
          <w:tcPr>
            <w:tcW w:w="810"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rPr>
            </w:pPr>
            <w:r>
              <w:rPr>
                <w:b/>
                <w:color w:val="000000" w:themeColor="text1"/>
                <w:sz w:val="18"/>
                <w:szCs w:val="18"/>
              </w:rPr>
              <w:t>533,987</w:t>
            </w:r>
          </w:p>
        </w:tc>
      </w:tr>
      <w:tr w:rsidR="001935E1" w:rsidRPr="00A45402" w:rsidTr="00656372">
        <w:trPr>
          <w:trHeight w:val="348"/>
        </w:trPr>
        <w:tc>
          <w:tcPr>
            <w:tcW w:w="2700" w:type="dxa"/>
            <w:tcBorders>
              <w:top w:val="single" w:sz="12" w:space="0" w:color="auto"/>
              <w:bottom w:val="single" w:sz="12" w:space="0" w:color="auto"/>
            </w:tcBorders>
            <w:vAlign w:val="center"/>
          </w:tcPr>
          <w:p w:rsidR="001935E1" w:rsidRPr="00B67467" w:rsidRDefault="001935E1" w:rsidP="001935E1">
            <w:pPr>
              <w:widowControl w:val="0"/>
              <w:spacing w:before="20" w:after="20"/>
              <w:rPr>
                <w:color w:val="000000" w:themeColor="text1"/>
                <w:sz w:val="18"/>
                <w:szCs w:val="18"/>
              </w:rPr>
            </w:pPr>
            <w:r w:rsidRPr="00B67467">
              <w:rPr>
                <w:b/>
                <w:color w:val="000000" w:themeColor="text1"/>
                <w:sz w:val="18"/>
                <w:szCs w:val="18"/>
              </w:rPr>
              <w:t>SER</w:t>
            </w:r>
          </w:p>
        </w:tc>
        <w:tc>
          <w:tcPr>
            <w:tcW w:w="687" w:type="dxa"/>
            <w:tcBorders>
              <w:top w:val="single" w:sz="12" w:space="0" w:color="auto"/>
              <w:bottom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100</w:t>
            </w:r>
          </w:p>
        </w:tc>
        <w:tc>
          <w:tcPr>
            <w:tcW w:w="630" w:type="dxa"/>
            <w:tcBorders>
              <w:top w:val="single" w:sz="12" w:space="0" w:color="auto"/>
              <w:bottom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40</w:t>
            </w:r>
          </w:p>
        </w:tc>
        <w:tc>
          <w:tcPr>
            <w:tcW w:w="720" w:type="dxa"/>
            <w:tcBorders>
              <w:top w:val="single" w:sz="12" w:space="0" w:color="auto"/>
              <w:bottom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25</w:t>
            </w:r>
          </w:p>
        </w:tc>
        <w:tc>
          <w:tcPr>
            <w:tcW w:w="720" w:type="dxa"/>
            <w:tcBorders>
              <w:top w:val="single" w:sz="12" w:space="0" w:color="auto"/>
              <w:bottom w:val="single" w:sz="12" w:space="0" w:color="auto"/>
            </w:tcBorders>
            <w:vAlign w:val="center"/>
          </w:tcPr>
          <w:p w:rsidR="001935E1" w:rsidRDefault="001935E1" w:rsidP="001935E1">
            <w:pPr>
              <w:widowControl w:val="0"/>
              <w:spacing w:before="20" w:after="20"/>
              <w:jc w:val="center"/>
              <w:rPr>
                <w:color w:val="000000" w:themeColor="text1"/>
                <w:sz w:val="18"/>
                <w:szCs w:val="18"/>
              </w:rPr>
            </w:pPr>
            <w:r>
              <w:rPr>
                <w:color w:val="000000" w:themeColor="text1"/>
                <w:sz w:val="18"/>
                <w:szCs w:val="18"/>
              </w:rPr>
              <w:t>15</w:t>
            </w:r>
          </w:p>
        </w:tc>
        <w:tc>
          <w:tcPr>
            <w:tcW w:w="720" w:type="dxa"/>
            <w:tcBorders>
              <w:top w:val="single" w:sz="12" w:space="0" w:color="auto"/>
              <w:bottom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10</w:t>
            </w:r>
          </w:p>
        </w:tc>
        <w:tc>
          <w:tcPr>
            <w:tcW w:w="720" w:type="dxa"/>
            <w:tcBorders>
              <w:top w:val="single" w:sz="12" w:space="0" w:color="auto"/>
              <w:bottom w:val="single" w:sz="12" w:space="0" w:color="auto"/>
            </w:tcBorders>
            <w:vAlign w:val="center"/>
          </w:tcPr>
          <w:p w:rsidR="001935E1" w:rsidRPr="00EF6A15" w:rsidRDefault="001935E1" w:rsidP="001935E1">
            <w:pPr>
              <w:widowControl w:val="0"/>
              <w:spacing w:before="20" w:after="20"/>
              <w:jc w:val="center"/>
              <w:rPr>
                <w:color w:val="000000" w:themeColor="text1"/>
                <w:sz w:val="18"/>
                <w:szCs w:val="18"/>
              </w:rPr>
            </w:pPr>
            <w:r w:rsidRPr="00EF6A15">
              <w:rPr>
                <w:color w:val="000000" w:themeColor="text1"/>
                <w:sz w:val="18"/>
                <w:szCs w:val="18"/>
              </w:rPr>
              <w:t>40</w:t>
            </w:r>
          </w:p>
        </w:tc>
        <w:tc>
          <w:tcPr>
            <w:tcW w:w="720" w:type="dxa"/>
            <w:tcBorders>
              <w:top w:val="single" w:sz="12" w:space="0" w:color="auto"/>
              <w:bottom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7</w:t>
            </w:r>
          </w:p>
        </w:tc>
        <w:tc>
          <w:tcPr>
            <w:tcW w:w="720" w:type="dxa"/>
            <w:tcBorders>
              <w:top w:val="single" w:sz="12" w:space="0" w:color="auto"/>
              <w:bottom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40</w:t>
            </w:r>
          </w:p>
        </w:tc>
        <w:tc>
          <w:tcPr>
            <w:tcW w:w="630" w:type="dxa"/>
            <w:tcBorders>
              <w:top w:val="single" w:sz="12" w:space="0" w:color="auto"/>
              <w:bottom w:val="single" w:sz="12" w:space="0" w:color="auto"/>
            </w:tcBorders>
            <w:vAlign w:val="center"/>
          </w:tcPr>
          <w:p w:rsidR="001935E1" w:rsidRPr="00B67467" w:rsidRDefault="001935E1" w:rsidP="001935E1">
            <w:pPr>
              <w:widowControl w:val="0"/>
              <w:spacing w:before="20" w:after="20"/>
              <w:jc w:val="center"/>
              <w:rPr>
                <w:color w:val="000000" w:themeColor="text1"/>
                <w:sz w:val="18"/>
                <w:szCs w:val="18"/>
              </w:rPr>
            </w:pPr>
            <w:r w:rsidRPr="00B67467">
              <w:rPr>
                <w:color w:val="000000" w:themeColor="text1"/>
                <w:sz w:val="18"/>
                <w:szCs w:val="18"/>
              </w:rPr>
              <w:t>0.1</w:t>
            </w:r>
          </w:p>
        </w:tc>
        <w:tc>
          <w:tcPr>
            <w:tcW w:w="540" w:type="dxa"/>
            <w:tcBorders>
              <w:top w:val="single" w:sz="12" w:space="0" w:color="auto"/>
              <w:bottom w:val="single" w:sz="12" w:space="0" w:color="auto"/>
            </w:tcBorders>
            <w:vAlign w:val="center"/>
          </w:tcPr>
          <w:p w:rsidR="001935E1" w:rsidRPr="00A45402" w:rsidRDefault="001935E1" w:rsidP="001935E1">
            <w:pPr>
              <w:widowControl w:val="0"/>
              <w:spacing w:before="20" w:after="20"/>
              <w:jc w:val="center"/>
              <w:rPr>
                <w:color w:val="000000" w:themeColor="text1"/>
                <w:sz w:val="18"/>
                <w:szCs w:val="18"/>
              </w:rPr>
            </w:pPr>
            <w:r>
              <w:rPr>
                <w:color w:val="000000" w:themeColor="text1"/>
                <w:sz w:val="18"/>
                <w:szCs w:val="18"/>
              </w:rPr>
              <w:t>0.6</w:t>
            </w:r>
          </w:p>
        </w:tc>
        <w:tc>
          <w:tcPr>
            <w:tcW w:w="810" w:type="dxa"/>
            <w:tcBorders>
              <w:top w:val="single" w:sz="12" w:space="0" w:color="auto"/>
              <w:bottom w:val="single" w:sz="12" w:space="0" w:color="auto"/>
            </w:tcBorders>
            <w:vAlign w:val="center"/>
          </w:tcPr>
          <w:p w:rsidR="001935E1" w:rsidRDefault="001935E1" w:rsidP="001935E1">
            <w:pPr>
              <w:widowControl w:val="0"/>
              <w:spacing w:before="20" w:after="20"/>
              <w:jc w:val="center"/>
              <w:rPr>
                <w:color w:val="000000" w:themeColor="text1"/>
                <w:sz w:val="18"/>
                <w:szCs w:val="18"/>
              </w:rPr>
            </w:pPr>
            <w:r>
              <w:rPr>
                <w:color w:val="000000" w:themeColor="text1"/>
                <w:sz w:val="18"/>
                <w:szCs w:val="18"/>
              </w:rPr>
              <w:t>75,000</w:t>
            </w:r>
          </w:p>
        </w:tc>
      </w:tr>
      <w:tr w:rsidR="001935E1" w:rsidRPr="00A45402" w:rsidTr="00656372">
        <w:trPr>
          <w:trHeight w:val="330"/>
        </w:trPr>
        <w:tc>
          <w:tcPr>
            <w:tcW w:w="2700" w:type="dxa"/>
            <w:tcBorders>
              <w:top w:val="single" w:sz="12" w:space="0" w:color="auto"/>
              <w:bottom w:val="single" w:sz="12" w:space="0" w:color="auto"/>
            </w:tcBorders>
            <w:vAlign w:val="center"/>
          </w:tcPr>
          <w:p w:rsidR="001935E1" w:rsidRPr="00B67467" w:rsidRDefault="001935E1" w:rsidP="001935E1">
            <w:pPr>
              <w:widowControl w:val="0"/>
              <w:spacing w:before="20" w:after="20"/>
              <w:rPr>
                <w:color w:val="000000" w:themeColor="text1"/>
                <w:sz w:val="18"/>
                <w:szCs w:val="18"/>
              </w:rPr>
            </w:pPr>
            <w:r>
              <w:rPr>
                <w:b/>
                <w:color w:val="000000" w:themeColor="text1"/>
                <w:sz w:val="18"/>
                <w:szCs w:val="18"/>
              </w:rPr>
              <w:t>PSD Applies?</w:t>
            </w:r>
          </w:p>
        </w:tc>
        <w:tc>
          <w:tcPr>
            <w:tcW w:w="687"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rPr>
            </w:pPr>
            <w:r w:rsidRPr="00BD60AC">
              <w:rPr>
                <w:b/>
                <w:color w:val="000000" w:themeColor="text1"/>
                <w:sz w:val="18"/>
                <w:szCs w:val="18"/>
              </w:rPr>
              <w:t>Yes</w:t>
            </w:r>
          </w:p>
        </w:tc>
        <w:tc>
          <w:tcPr>
            <w:tcW w:w="630"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rPr>
            </w:pPr>
            <w:r w:rsidRPr="00BD60AC">
              <w:rPr>
                <w:b/>
                <w:color w:val="000000" w:themeColor="text1"/>
                <w:sz w:val="18"/>
                <w:szCs w:val="18"/>
              </w:rPr>
              <w:t>Yes</w:t>
            </w:r>
          </w:p>
        </w:tc>
        <w:tc>
          <w:tcPr>
            <w:tcW w:w="720"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rPr>
            </w:pPr>
            <w:r w:rsidRPr="00BD60AC">
              <w:rPr>
                <w:b/>
                <w:color w:val="000000" w:themeColor="text1"/>
                <w:sz w:val="18"/>
                <w:szCs w:val="18"/>
              </w:rPr>
              <w:t>Yes</w:t>
            </w:r>
          </w:p>
        </w:tc>
        <w:tc>
          <w:tcPr>
            <w:tcW w:w="720"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rPr>
            </w:pPr>
            <w:r>
              <w:rPr>
                <w:b/>
                <w:color w:val="000000" w:themeColor="text1"/>
                <w:sz w:val="18"/>
                <w:szCs w:val="18"/>
              </w:rPr>
              <w:t>Yes</w:t>
            </w:r>
          </w:p>
        </w:tc>
        <w:tc>
          <w:tcPr>
            <w:tcW w:w="720"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vertAlign w:val="superscript"/>
              </w:rPr>
            </w:pPr>
            <w:r>
              <w:rPr>
                <w:b/>
                <w:color w:val="000000" w:themeColor="text1"/>
                <w:sz w:val="18"/>
                <w:szCs w:val="18"/>
              </w:rPr>
              <w:t>Yes</w:t>
            </w:r>
          </w:p>
        </w:tc>
        <w:tc>
          <w:tcPr>
            <w:tcW w:w="720" w:type="dxa"/>
            <w:tcBorders>
              <w:top w:val="single" w:sz="12" w:space="0" w:color="auto"/>
              <w:bottom w:val="single" w:sz="12" w:space="0" w:color="auto"/>
            </w:tcBorders>
            <w:vAlign w:val="center"/>
          </w:tcPr>
          <w:p w:rsidR="001935E1" w:rsidRPr="00EF6A15" w:rsidRDefault="001935E1" w:rsidP="001935E1">
            <w:pPr>
              <w:widowControl w:val="0"/>
              <w:spacing w:before="20" w:after="20"/>
              <w:jc w:val="center"/>
              <w:rPr>
                <w:b/>
                <w:color w:val="000000" w:themeColor="text1"/>
                <w:sz w:val="18"/>
                <w:szCs w:val="18"/>
              </w:rPr>
            </w:pPr>
            <w:r w:rsidRPr="00EF6A15">
              <w:rPr>
                <w:b/>
                <w:color w:val="000000" w:themeColor="text1"/>
                <w:sz w:val="18"/>
                <w:szCs w:val="18"/>
              </w:rPr>
              <w:t>Yes</w:t>
            </w:r>
          </w:p>
        </w:tc>
        <w:tc>
          <w:tcPr>
            <w:tcW w:w="720" w:type="dxa"/>
            <w:tcBorders>
              <w:top w:val="single" w:sz="12" w:space="0" w:color="auto"/>
              <w:bottom w:val="single" w:sz="12" w:space="0" w:color="auto"/>
            </w:tcBorders>
            <w:vAlign w:val="center"/>
          </w:tcPr>
          <w:p w:rsidR="001935E1" w:rsidRPr="00C558A7" w:rsidRDefault="001935E1" w:rsidP="001935E1">
            <w:pPr>
              <w:widowControl w:val="0"/>
              <w:spacing w:before="20" w:after="20"/>
              <w:jc w:val="center"/>
              <w:rPr>
                <w:color w:val="000000" w:themeColor="text1"/>
                <w:sz w:val="18"/>
                <w:szCs w:val="18"/>
              </w:rPr>
            </w:pPr>
            <w:r w:rsidRPr="00C558A7">
              <w:rPr>
                <w:color w:val="000000" w:themeColor="text1"/>
                <w:sz w:val="18"/>
                <w:szCs w:val="18"/>
              </w:rPr>
              <w:t>No</w:t>
            </w:r>
          </w:p>
        </w:tc>
        <w:tc>
          <w:tcPr>
            <w:tcW w:w="720"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rPr>
            </w:pPr>
            <w:r w:rsidRPr="00BD60AC">
              <w:rPr>
                <w:b/>
                <w:color w:val="000000" w:themeColor="text1"/>
                <w:sz w:val="18"/>
                <w:szCs w:val="18"/>
              </w:rPr>
              <w:t>Yes</w:t>
            </w:r>
          </w:p>
        </w:tc>
        <w:tc>
          <w:tcPr>
            <w:tcW w:w="630" w:type="dxa"/>
            <w:tcBorders>
              <w:top w:val="single" w:sz="12" w:space="0" w:color="auto"/>
              <w:bottom w:val="single" w:sz="12" w:space="0" w:color="auto"/>
            </w:tcBorders>
            <w:vAlign w:val="center"/>
          </w:tcPr>
          <w:p w:rsidR="001935E1" w:rsidRPr="00C558A7" w:rsidRDefault="001935E1" w:rsidP="001935E1">
            <w:pPr>
              <w:widowControl w:val="0"/>
              <w:spacing w:before="20" w:after="20"/>
              <w:jc w:val="center"/>
              <w:rPr>
                <w:color w:val="000000" w:themeColor="text1"/>
                <w:sz w:val="18"/>
                <w:szCs w:val="18"/>
              </w:rPr>
            </w:pPr>
            <w:r w:rsidRPr="00C558A7">
              <w:rPr>
                <w:color w:val="000000" w:themeColor="text1"/>
                <w:sz w:val="18"/>
                <w:szCs w:val="18"/>
              </w:rPr>
              <w:t>No</w:t>
            </w:r>
          </w:p>
        </w:tc>
        <w:tc>
          <w:tcPr>
            <w:tcW w:w="540" w:type="dxa"/>
            <w:tcBorders>
              <w:top w:val="single" w:sz="12" w:space="0" w:color="auto"/>
              <w:bottom w:val="single" w:sz="12" w:space="0" w:color="auto"/>
            </w:tcBorders>
            <w:vAlign w:val="center"/>
          </w:tcPr>
          <w:p w:rsidR="001935E1" w:rsidRPr="00C558A7" w:rsidRDefault="001935E1" w:rsidP="001935E1">
            <w:pPr>
              <w:widowControl w:val="0"/>
              <w:spacing w:before="20" w:after="20"/>
              <w:jc w:val="center"/>
              <w:rPr>
                <w:color w:val="000000" w:themeColor="text1"/>
                <w:sz w:val="18"/>
                <w:szCs w:val="18"/>
              </w:rPr>
            </w:pPr>
            <w:r w:rsidRPr="00C558A7">
              <w:rPr>
                <w:color w:val="000000" w:themeColor="text1"/>
                <w:sz w:val="18"/>
                <w:szCs w:val="18"/>
              </w:rPr>
              <w:t>No</w:t>
            </w:r>
          </w:p>
        </w:tc>
        <w:tc>
          <w:tcPr>
            <w:tcW w:w="810" w:type="dxa"/>
            <w:tcBorders>
              <w:top w:val="single" w:sz="12" w:space="0" w:color="auto"/>
              <w:bottom w:val="single" w:sz="12" w:space="0" w:color="auto"/>
            </w:tcBorders>
            <w:vAlign w:val="center"/>
          </w:tcPr>
          <w:p w:rsidR="001935E1" w:rsidRPr="00BD60AC" w:rsidRDefault="001935E1" w:rsidP="001935E1">
            <w:pPr>
              <w:widowControl w:val="0"/>
              <w:spacing w:before="20" w:after="20"/>
              <w:jc w:val="center"/>
              <w:rPr>
                <w:b/>
                <w:color w:val="000000" w:themeColor="text1"/>
                <w:sz w:val="18"/>
                <w:szCs w:val="18"/>
              </w:rPr>
            </w:pPr>
            <w:r>
              <w:rPr>
                <w:b/>
                <w:color w:val="000000" w:themeColor="text1"/>
                <w:sz w:val="18"/>
                <w:szCs w:val="18"/>
              </w:rPr>
              <w:t>Yes</w:t>
            </w:r>
          </w:p>
        </w:tc>
      </w:tr>
      <w:tr w:rsidR="001935E1" w:rsidRPr="00E716DD" w:rsidTr="00656372">
        <w:trPr>
          <w:trHeight w:val="330"/>
        </w:trPr>
        <w:tc>
          <w:tcPr>
            <w:tcW w:w="10317" w:type="dxa"/>
            <w:gridSpan w:val="12"/>
            <w:tcBorders>
              <w:top w:val="single" w:sz="12" w:space="0" w:color="auto"/>
            </w:tcBorders>
            <w:vAlign w:val="center"/>
          </w:tcPr>
          <w:p w:rsidR="001935E1" w:rsidRPr="00E716DD" w:rsidRDefault="001935E1" w:rsidP="001935E1">
            <w:pPr>
              <w:pStyle w:val="ListParagraph"/>
              <w:widowControl w:val="0"/>
              <w:numPr>
                <w:ilvl w:val="0"/>
                <w:numId w:val="25"/>
              </w:numPr>
              <w:spacing w:before="20" w:after="20"/>
              <w:ind w:left="314" w:hanging="270"/>
              <w:rPr>
                <w:color w:val="000000" w:themeColor="text1"/>
                <w:sz w:val="18"/>
                <w:szCs w:val="18"/>
              </w:rPr>
            </w:pPr>
            <w:r w:rsidRPr="00E716DD">
              <w:rPr>
                <w:color w:val="000000" w:themeColor="text1"/>
                <w:sz w:val="18"/>
                <w:szCs w:val="18"/>
              </w:rPr>
              <w:t>PM includes only filterable particulate matter.  PM</w:t>
            </w:r>
            <w:r w:rsidRPr="00E716DD">
              <w:rPr>
                <w:color w:val="000000" w:themeColor="text1"/>
                <w:sz w:val="18"/>
                <w:szCs w:val="18"/>
                <w:vertAlign w:val="subscript"/>
              </w:rPr>
              <w:t>10</w:t>
            </w:r>
            <w:r w:rsidRPr="00E716DD">
              <w:rPr>
                <w:color w:val="000000" w:themeColor="text1"/>
                <w:sz w:val="18"/>
                <w:szCs w:val="18"/>
              </w:rPr>
              <w:t xml:space="preserve"> and PM</w:t>
            </w:r>
            <w:r w:rsidRPr="00E716DD">
              <w:rPr>
                <w:color w:val="000000" w:themeColor="text1"/>
                <w:sz w:val="18"/>
                <w:szCs w:val="18"/>
                <w:vertAlign w:val="subscript"/>
              </w:rPr>
              <w:t>2.5</w:t>
            </w:r>
            <w:r w:rsidRPr="00E716DD">
              <w:rPr>
                <w:color w:val="000000" w:themeColor="text1"/>
                <w:sz w:val="18"/>
                <w:szCs w:val="18"/>
              </w:rPr>
              <w:t xml:space="preserve"> include both filterable and condensable particulate matter.</w:t>
            </w:r>
          </w:p>
        </w:tc>
      </w:tr>
    </w:tbl>
    <w:p w:rsidR="002E3095" w:rsidRDefault="002E3095" w:rsidP="003F3431">
      <w:pPr>
        <w:pStyle w:val="BodyTextIndent"/>
        <w:widowControl w:val="0"/>
        <w:spacing w:before="120"/>
        <w:ind w:left="0"/>
        <w:rPr>
          <w:sz w:val="22"/>
          <w:szCs w:val="22"/>
        </w:rPr>
      </w:pPr>
      <w:r w:rsidRPr="00290299">
        <w:rPr>
          <w:sz w:val="22"/>
          <w:szCs w:val="22"/>
        </w:rPr>
        <w:t>As shown in the table, the project is subject to PSD preconstruction review for emissions o</w:t>
      </w:r>
      <w:r w:rsidR="003F3431">
        <w:rPr>
          <w:sz w:val="22"/>
          <w:szCs w:val="22"/>
        </w:rPr>
        <w:t>f CO, NO</w:t>
      </w:r>
      <w:r w:rsidR="003F3431" w:rsidRPr="003F3431">
        <w:rPr>
          <w:sz w:val="22"/>
          <w:szCs w:val="22"/>
          <w:vertAlign w:val="subscript"/>
        </w:rPr>
        <w:t>X</w:t>
      </w:r>
      <w:r w:rsidR="003F3431">
        <w:rPr>
          <w:sz w:val="22"/>
          <w:szCs w:val="22"/>
        </w:rPr>
        <w:t>, PM, PM</w:t>
      </w:r>
      <w:r w:rsidR="003F3431" w:rsidRPr="003F3431">
        <w:rPr>
          <w:sz w:val="22"/>
          <w:szCs w:val="22"/>
          <w:vertAlign w:val="subscript"/>
        </w:rPr>
        <w:t>10</w:t>
      </w:r>
      <w:r w:rsidR="003F3431">
        <w:rPr>
          <w:sz w:val="22"/>
          <w:szCs w:val="22"/>
        </w:rPr>
        <w:t>, PM</w:t>
      </w:r>
      <w:r w:rsidR="003F3431" w:rsidRPr="003F3431">
        <w:rPr>
          <w:sz w:val="22"/>
          <w:szCs w:val="22"/>
          <w:vertAlign w:val="subscript"/>
        </w:rPr>
        <w:t>2.5</w:t>
      </w:r>
      <w:r w:rsidR="003F3431">
        <w:rPr>
          <w:sz w:val="22"/>
          <w:szCs w:val="22"/>
        </w:rPr>
        <w:t>, SO</w:t>
      </w:r>
      <w:r w:rsidR="003F3431" w:rsidRPr="003F3431">
        <w:rPr>
          <w:sz w:val="22"/>
          <w:szCs w:val="22"/>
          <w:vertAlign w:val="subscript"/>
        </w:rPr>
        <w:t>2</w:t>
      </w:r>
      <w:r w:rsidR="003F3431">
        <w:rPr>
          <w:sz w:val="22"/>
          <w:szCs w:val="22"/>
        </w:rPr>
        <w:t>, VOC, and GHG.</w:t>
      </w:r>
    </w:p>
    <w:p w:rsidR="00775E68" w:rsidRPr="00290299" w:rsidRDefault="00775E68" w:rsidP="003F3431">
      <w:pPr>
        <w:pStyle w:val="BodyTextIndent"/>
        <w:widowControl w:val="0"/>
        <w:spacing w:before="120"/>
        <w:ind w:left="0"/>
        <w:rPr>
          <w:sz w:val="22"/>
          <w:szCs w:val="22"/>
        </w:rPr>
      </w:pPr>
      <w:r>
        <w:rPr>
          <w:sz w:val="22"/>
          <w:szCs w:val="22"/>
        </w:rPr>
        <w:t xml:space="preserve">The applicant estimates HAP emissions to be 55.0 tons per year.  The highest emissions of any single HAP </w:t>
      </w:r>
      <w:r w:rsidR="0008112E">
        <w:rPr>
          <w:sz w:val="22"/>
          <w:szCs w:val="22"/>
        </w:rPr>
        <w:t>are expected to be 41 tons per year of hydrogen chloride, using the NESHAP Subpart DDDDD emission limit as the emission factor for the boiler.</w:t>
      </w:r>
    </w:p>
    <w:p w:rsidR="005325B9" w:rsidRDefault="005325B9" w:rsidP="00AF374A">
      <w:pPr>
        <w:pStyle w:val="ListParagraph"/>
        <w:widowControl w:val="0"/>
        <w:numPr>
          <w:ilvl w:val="0"/>
          <w:numId w:val="15"/>
        </w:numPr>
        <w:spacing w:after="120"/>
        <w:ind w:left="720" w:hanging="720"/>
        <w:contextualSpacing w:val="0"/>
        <w:rPr>
          <w:b/>
          <w:caps/>
          <w:sz w:val="22"/>
          <w:szCs w:val="22"/>
        </w:rPr>
      </w:pPr>
      <w:r>
        <w:rPr>
          <w:b/>
          <w:caps/>
          <w:sz w:val="22"/>
          <w:szCs w:val="22"/>
        </w:rPr>
        <w:t>Department’s Project Review</w:t>
      </w:r>
    </w:p>
    <w:p w:rsidR="005325B9" w:rsidRPr="007938AA" w:rsidRDefault="005325B9" w:rsidP="007938AA">
      <w:pPr>
        <w:pStyle w:val="ListParagraph"/>
        <w:widowControl w:val="0"/>
        <w:numPr>
          <w:ilvl w:val="1"/>
          <w:numId w:val="15"/>
        </w:numPr>
        <w:spacing w:before="120" w:after="120"/>
        <w:ind w:left="720" w:hanging="720"/>
        <w:contextualSpacing w:val="0"/>
        <w:rPr>
          <w:b/>
          <w:sz w:val="22"/>
          <w:szCs w:val="22"/>
        </w:rPr>
      </w:pPr>
      <w:r w:rsidRPr="007938AA">
        <w:rPr>
          <w:b/>
          <w:sz w:val="22"/>
          <w:szCs w:val="22"/>
        </w:rPr>
        <w:t>Applicable State Regulations</w:t>
      </w:r>
    </w:p>
    <w:p w:rsidR="00963859" w:rsidRDefault="005325B9" w:rsidP="005325B9">
      <w:pPr>
        <w:pStyle w:val="BodyText2"/>
        <w:widowControl w:val="0"/>
        <w:numPr>
          <w:ilvl w:val="0"/>
          <w:numId w:val="0"/>
        </w:numPr>
        <w:jc w:val="left"/>
        <w:rPr>
          <w:szCs w:val="22"/>
        </w:rPr>
      </w:pPr>
      <w:r w:rsidRPr="007938AA">
        <w:rPr>
          <w:szCs w:val="22"/>
        </w:rPr>
        <w:t xml:space="preserve">For this project, the following </w:t>
      </w:r>
      <w:r w:rsidR="00246E13" w:rsidRPr="007938AA">
        <w:rPr>
          <w:szCs w:val="22"/>
        </w:rPr>
        <w:t>s</w:t>
      </w:r>
      <w:r w:rsidRPr="007938AA">
        <w:rPr>
          <w:szCs w:val="22"/>
        </w:rPr>
        <w:t xml:space="preserve">tate regulations </w:t>
      </w:r>
      <w:r w:rsidR="007938AA">
        <w:rPr>
          <w:szCs w:val="22"/>
        </w:rPr>
        <w:t>are applicable.</w:t>
      </w:r>
    </w:p>
    <w:p w:rsidR="00963859" w:rsidRDefault="00963859" w:rsidP="00963859">
      <w:pPr>
        <w:rPr>
          <w:sz w:val="22"/>
        </w:rPr>
      </w:pPr>
      <w:r>
        <w:br w:type="page"/>
      </w:r>
    </w:p>
    <w:p w:rsidR="00246E13" w:rsidRPr="00CD2081" w:rsidRDefault="00246E13" w:rsidP="00246E13">
      <w:pPr>
        <w:spacing w:after="120"/>
        <w:jc w:val="both"/>
        <w:outlineLvl w:val="0"/>
        <w:rPr>
          <w:b/>
          <w:sz w:val="22"/>
          <w:szCs w:val="22"/>
          <w:u w:val="single"/>
          <w:lang w:val="fr-FR"/>
        </w:rPr>
      </w:pPr>
      <w:r w:rsidRPr="00AF374A">
        <w:rPr>
          <w:b/>
          <w:sz w:val="22"/>
          <w:szCs w:val="22"/>
          <w:u w:val="single"/>
        </w:rPr>
        <w:lastRenderedPageBreak/>
        <w:t>Chapter</w:t>
      </w:r>
      <w:r w:rsidRPr="00CD2081">
        <w:rPr>
          <w:b/>
          <w:sz w:val="22"/>
          <w:szCs w:val="22"/>
          <w:u w:val="single"/>
          <w:lang w:val="fr-FR"/>
        </w:rPr>
        <w:t xml:space="preserve"> 62-4, F.A.C.</w:t>
      </w:r>
      <w:r w:rsidRPr="00CD2081">
        <w:rPr>
          <w:b/>
          <w:sz w:val="22"/>
          <w:szCs w:val="22"/>
          <w:lang w:val="fr-FR"/>
        </w:rPr>
        <w:t xml:space="preserve"> </w:t>
      </w:r>
    </w:p>
    <w:p w:rsidR="00246E13" w:rsidRPr="00673C78" w:rsidRDefault="00246E13" w:rsidP="00246E13">
      <w:pPr>
        <w:spacing w:after="120"/>
        <w:jc w:val="both"/>
        <w:outlineLvl w:val="0"/>
        <w:rPr>
          <w:b/>
          <w:sz w:val="22"/>
          <w:szCs w:val="22"/>
          <w:u w:val="single"/>
          <w:lang w:val="fr-FR"/>
        </w:rPr>
      </w:pPr>
      <w:r w:rsidRPr="00CD2081">
        <w:rPr>
          <w:bCs/>
          <w:sz w:val="22"/>
          <w:szCs w:val="22"/>
          <w:u w:val="single"/>
        </w:rPr>
        <w:t xml:space="preserve">Rule 62-4.070(1), F.A.C., Standards for Issuing or Denying Permits; Issuance; Denial.  </w:t>
      </w:r>
    </w:p>
    <w:p w:rsidR="00246E13" w:rsidRPr="00673C78" w:rsidRDefault="00246E13" w:rsidP="00246E13">
      <w:pPr>
        <w:spacing w:after="120"/>
        <w:jc w:val="both"/>
        <w:outlineLvl w:val="0"/>
        <w:rPr>
          <w:b/>
          <w:sz w:val="22"/>
          <w:szCs w:val="22"/>
          <w:u w:val="single"/>
          <w:lang w:val="fr-FR"/>
        </w:rPr>
      </w:pPr>
      <w:r w:rsidRPr="00CD2081">
        <w:rPr>
          <w:bCs/>
          <w:sz w:val="22"/>
          <w:szCs w:val="22"/>
        </w:rPr>
        <w:t>This rule applies to all permitting decisions:</w:t>
      </w:r>
    </w:p>
    <w:p w:rsidR="00246E13" w:rsidRPr="00CD2081" w:rsidRDefault="00246E13" w:rsidP="00246E13">
      <w:pPr>
        <w:numPr>
          <w:ilvl w:val="0"/>
          <w:numId w:val="26"/>
        </w:numPr>
        <w:tabs>
          <w:tab w:val="clear" w:pos="720"/>
          <w:tab w:val="left" w:pos="360"/>
        </w:tabs>
        <w:spacing w:after="120"/>
        <w:ind w:left="360"/>
        <w:outlineLvl w:val="0"/>
        <w:rPr>
          <w:sz w:val="22"/>
          <w:szCs w:val="22"/>
        </w:rPr>
      </w:pPr>
      <w:r w:rsidRPr="00CD2081">
        <w:rPr>
          <w:sz w:val="22"/>
          <w:szCs w:val="22"/>
        </w:rPr>
        <w:t>A permit shall be issued to the applicant upon such conditions as the Department may direct, only if the applicant affirmatively provides the Department with reasonable assurance based on plans, test results, installation of pollution control equipment, or other information, that the construction, expansion, modification, operation, or activity of the installation will not discharge, emit, or cause pollution in contravention of Department standards or rules.</w:t>
      </w:r>
    </w:p>
    <w:p w:rsidR="0008112E" w:rsidRDefault="00246E13" w:rsidP="00246E13">
      <w:pPr>
        <w:spacing w:after="120"/>
        <w:jc w:val="both"/>
        <w:outlineLvl w:val="0"/>
      </w:pPr>
      <w:r w:rsidRPr="00042517">
        <w:rPr>
          <w:b/>
          <w:sz w:val="22"/>
          <w:szCs w:val="22"/>
          <w:u w:val="single"/>
        </w:rPr>
        <w:t>Chapter</w:t>
      </w:r>
      <w:r w:rsidRPr="00CD2081">
        <w:rPr>
          <w:b/>
          <w:sz w:val="22"/>
          <w:szCs w:val="22"/>
          <w:u w:val="single"/>
          <w:lang w:val="fr-FR"/>
        </w:rPr>
        <w:t xml:space="preserve"> 62-204, F.A.C.</w:t>
      </w:r>
      <w:r w:rsidRPr="00CD2081">
        <w:rPr>
          <w:sz w:val="22"/>
          <w:szCs w:val="22"/>
          <w:lang w:val="fr-FR"/>
        </w:rPr>
        <w:t xml:space="preserve">  </w:t>
      </w:r>
    </w:p>
    <w:p w:rsidR="00246E13" w:rsidRPr="00CD2081" w:rsidRDefault="00246E13" w:rsidP="00246E13">
      <w:pPr>
        <w:spacing w:after="120"/>
        <w:jc w:val="both"/>
        <w:outlineLvl w:val="0"/>
        <w:rPr>
          <w:sz w:val="22"/>
          <w:szCs w:val="22"/>
          <w:u w:val="single"/>
        </w:rPr>
      </w:pPr>
      <w:r w:rsidRPr="00CD2081">
        <w:rPr>
          <w:bCs/>
          <w:sz w:val="22"/>
          <w:szCs w:val="22"/>
          <w:u w:val="single"/>
        </w:rPr>
        <w:t xml:space="preserve">Rule 62-204.220(1), F.A.C., Ambient Air Quality Protection. </w:t>
      </w:r>
    </w:p>
    <w:p w:rsidR="00246E13" w:rsidRPr="00CD2081" w:rsidRDefault="00246E13" w:rsidP="00246E13">
      <w:pPr>
        <w:spacing w:after="120"/>
        <w:outlineLvl w:val="0"/>
        <w:rPr>
          <w:bCs/>
          <w:sz w:val="22"/>
          <w:szCs w:val="22"/>
        </w:rPr>
      </w:pPr>
      <w:r w:rsidRPr="00CD2081">
        <w:rPr>
          <w:bCs/>
          <w:sz w:val="22"/>
          <w:szCs w:val="22"/>
        </w:rPr>
        <w:t>This rule applies to all air permitting decisions.</w:t>
      </w:r>
    </w:p>
    <w:p w:rsidR="00246E13" w:rsidRPr="00CD2081" w:rsidRDefault="00246E13" w:rsidP="00246E13">
      <w:pPr>
        <w:numPr>
          <w:ilvl w:val="0"/>
          <w:numId w:val="26"/>
        </w:numPr>
        <w:tabs>
          <w:tab w:val="clear" w:pos="720"/>
          <w:tab w:val="left" w:pos="360"/>
        </w:tabs>
        <w:spacing w:after="120"/>
        <w:ind w:left="360"/>
        <w:outlineLvl w:val="0"/>
        <w:rPr>
          <w:sz w:val="22"/>
          <w:szCs w:val="22"/>
        </w:rPr>
      </w:pPr>
      <w:r w:rsidRPr="00CD2081">
        <w:rPr>
          <w:sz w:val="22"/>
          <w:szCs w:val="22"/>
        </w:rPr>
        <w:t>The Department shall not issue an air permit authorizing a person to build, erect, construct, or implant any new emissions unit; operate, modify, or rebuild any existing emissions unit; or by any other means release or take action which would result in the release of an air pollutant into the atmosphere which would cause or contribute to a violation of an ambient air quality standard established under Rule 62-204.240, F.A.C.</w:t>
      </w:r>
    </w:p>
    <w:p w:rsidR="00246E13" w:rsidRPr="00CD2081" w:rsidRDefault="00246E13" w:rsidP="00246E13">
      <w:pPr>
        <w:spacing w:after="120"/>
        <w:jc w:val="both"/>
        <w:outlineLvl w:val="0"/>
        <w:rPr>
          <w:bCs/>
          <w:sz w:val="22"/>
          <w:szCs w:val="22"/>
          <w:u w:val="single"/>
        </w:rPr>
      </w:pPr>
      <w:r w:rsidRPr="00CD2081">
        <w:rPr>
          <w:bCs/>
          <w:sz w:val="22"/>
          <w:szCs w:val="22"/>
          <w:u w:val="single"/>
        </w:rPr>
        <w:t xml:space="preserve">Rule 62-204.240, F.A.C., Ambient Air Quality Standards. </w:t>
      </w:r>
    </w:p>
    <w:p w:rsidR="00246E13" w:rsidRPr="00246E13" w:rsidRDefault="00246E13" w:rsidP="00246E13">
      <w:pPr>
        <w:spacing w:after="120"/>
        <w:outlineLvl w:val="0"/>
        <w:rPr>
          <w:bCs/>
          <w:sz w:val="22"/>
          <w:szCs w:val="22"/>
        </w:rPr>
      </w:pPr>
      <w:r w:rsidRPr="00CD2081">
        <w:rPr>
          <w:bCs/>
          <w:sz w:val="22"/>
          <w:szCs w:val="22"/>
        </w:rPr>
        <w:t>This rule applies to all air permitting decisions.</w:t>
      </w:r>
      <w:r>
        <w:rPr>
          <w:bCs/>
          <w:sz w:val="22"/>
          <w:szCs w:val="22"/>
        </w:rPr>
        <w:t xml:space="preserve">  </w:t>
      </w:r>
      <w:r w:rsidRPr="00CD2081">
        <w:rPr>
          <w:sz w:val="22"/>
          <w:szCs w:val="22"/>
        </w:rPr>
        <w:t>Refer to list of pollutants and ambient air quality standards provided therein and discussed in the Ambient Air Quality Section of this evaluation.</w:t>
      </w:r>
    </w:p>
    <w:p w:rsidR="00246E13" w:rsidRPr="00CD2081" w:rsidRDefault="00246E13" w:rsidP="00246E13">
      <w:pPr>
        <w:spacing w:after="120"/>
        <w:outlineLvl w:val="0"/>
        <w:rPr>
          <w:bCs/>
          <w:sz w:val="22"/>
          <w:szCs w:val="22"/>
          <w:u w:val="single"/>
        </w:rPr>
      </w:pPr>
      <w:r w:rsidRPr="00CD2081">
        <w:rPr>
          <w:bCs/>
          <w:sz w:val="22"/>
          <w:szCs w:val="22"/>
          <w:u w:val="single"/>
        </w:rPr>
        <w:t xml:space="preserve">Rule 62-204.800(8), F.A.C., 40 CFR 60, NSPS.  </w:t>
      </w:r>
    </w:p>
    <w:p w:rsidR="00246E13" w:rsidRDefault="00246E13" w:rsidP="00246E13">
      <w:pPr>
        <w:spacing w:after="120"/>
        <w:outlineLvl w:val="0"/>
        <w:rPr>
          <w:bCs/>
          <w:sz w:val="22"/>
          <w:szCs w:val="22"/>
        </w:rPr>
      </w:pPr>
      <w:r w:rsidRPr="00CD2081">
        <w:rPr>
          <w:bCs/>
          <w:sz w:val="22"/>
          <w:szCs w:val="22"/>
        </w:rPr>
        <w:t xml:space="preserve">The </w:t>
      </w:r>
      <w:r>
        <w:rPr>
          <w:bCs/>
          <w:sz w:val="22"/>
          <w:szCs w:val="22"/>
        </w:rPr>
        <w:t>federal NSPS are incorporated by reference in Rule 62-204.800(8), F.A.C.  The applicable NSPS provisions are summarized below under “Applicable Federal Regulations.”</w:t>
      </w:r>
    </w:p>
    <w:p w:rsidR="00246E13" w:rsidRPr="00246E13" w:rsidRDefault="00246E13" w:rsidP="00246E13">
      <w:pPr>
        <w:spacing w:after="120"/>
        <w:outlineLvl w:val="0"/>
        <w:rPr>
          <w:bCs/>
          <w:sz w:val="22"/>
          <w:szCs w:val="22"/>
          <w:u w:val="single"/>
        </w:rPr>
      </w:pPr>
      <w:r w:rsidRPr="00246E13">
        <w:rPr>
          <w:bCs/>
          <w:sz w:val="22"/>
          <w:szCs w:val="22"/>
          <w:u w:val="single"/>
        </w:rPr>
        <w:t>Rule 62-204.800(11), F.A.C., 40 CFR 63, NESHAP.</w:t>
      </w:r>
    </w:p>
    <w:p w:rsidR="006A4213" w:rsidRDefault="00246E13" w:rsidP="006A4213">
      <w:pPr>
        <w:spacing w:after="120"/>
        <w:outlineLvl w:val="0"/>
        <w:rPr>
          <w:sz w:val="22"/>
          <w:szCs w:val="22"/>
          <w:u w:val="single"/>
        </w:rPr>
      </w:pPr>
      <w:r>
        <w:rPr>
          <w:bCs/>
          <w:sz w:val="22"/>
          <w:szCs w:val="22"/>
        </w:rPr>
        <w:t>Federal NESHAP standards of 40 CFR 63 are incorporated by reference in Rule 62-204.800(11), F.A.C.  The applicable NESHAP provisions are summarized below under “Applicable Federal Regulations.”</w:t>
      </w:r>
    </w:p>
    <w:p w:rsidR="006A4213" w:rsidRPr="00CD2081" w:rsidRDefault="006A4213" w:rsidP="006A4213">
      <w:pPr>
        <w:spacing w:after="120"/>
        <w:outlineLvl w:val="0"/>
        <w:rPr>
          <w:sz w:val="22"/>
          <w:szCs w:val="22"/>
          <w:lang w:val="fr-FR"/>
        </w:rPr>
      </w:pPr>
      <w:r w:rsidRPr="00667FA1">
        <w:rPr>
          <w:b/>
          <w:sz w:val="22"/>
          <w:szCs w:val="22"/>
          <w:u w:val="single"/>
        </w:rPr>
        <w:t>Chapter</w:t>
      </w:r>
      <w:r w:rsidRPr="00CD2081">
        <w:rPr>
          <w:b/>
          <w:sz w:val="22"/>
          <w:szCs w:val="22"/>
          <w:u w:val="single"/>
          <w:lang w:val="fr-FR"/>
        </w:rPr>
        <w:t xml:space="preserve"> 62-210, F.A.C.</w:t>
      </w:r>
    </w:p>
    <w:p w:rsidR="006A4213" w:rsidRPr="00CD2081" w:rsidRDefault="006A4213" w:rsidP="006A4213">
      <w:pPr>
        <w:spacing w:after="120"/>
        <w:outlineLvl w:val="0"/>
        <w:rPr>
          <w:sz w:val="22"/>
          <w:szCs w:val="22"/>
          <w:u w:val="single"/>
        </w:rPr>
      </w:pPr>
      <w:r w:rsidRPr="00CD2081">
        <w:rPr>
          <w:sz w:val="22"/>
          <w:szCs w:val="22"/>
          <w:u w:val="single"/>
        </w:rPr>
        <w:t>62-210.200, F.A.C., Definitions.</w:t>
      </w:r>
    </w:p>
    <w:p w:rsidR="006A4213" w:rsidRPr="00CD2081" w:rsidRDefault="006A4213" w:rsidP="006A4213">
      <w:pPr>
        <w:numPr>
          <w:ilvl w:val="0"/>
          <w:numId w:val="26"/>
        </w:numPr>
        <w:tabs>
          <w:tab w:val="clear" w:pos="720"/>
          <w:tab w:val="left" w:pos="360"/>
        </w:tabs>
        <w:spacing w:after="120"/>
        <w:ind w:left="360"/>
        <w:outlineLvl w:val="0"/>
        <w:rPr>
          <w:sz w:val="22"/>
          <w:szCs w:val="22"/>
        </w:rPr>
      </w:pPr>
      <w:r w:rsidRPr="00CD2081">
        <w:rPr>
          <w:sz w:val="22"/>
          <w:szCs w:val="22"/>
        </w:rPr>
        <w:t>The project is a Title V or “Major Source” of air pollution because the PTE of at least one regulated pollutant will exceed 100 TPY.</w:t>
      </w:r>
    </w:p>
    <w:p w:rsidR="006A4213" w:rsidRPr="00CD2081" w:rsidRDefault="000B7CC2" w:rsidP="006A4213">
      <w:pPr>
        <w:numPr>
          <w:ilvl w:val="0"/>
          <w:numId w:val="26"/>
        </w:numPr>
        <w:tabs>
          <w:tab w:val="clear" w:pos="720"/>
          <w:tab w:val="left" w:pos="360"/>
        </w:tabs>
        <w:spacing w:after="120"/>
        <w:ind w:left="360"/>
        <w:outlineLvl w:val="0"/>
        <w:rPr>
          <w:sz w:val="22"/>
          <w:szCs w:val="22"/>
        </w:rPr>
      </w:pPr>
      <w:r>
        <w:rPr>
          <w:sz w:val="22"/>
          <w:szCs w:val="22"/>
        </w:rPr>
        <w:t xml:space="preserve">The project is </w:t>
      </w:r>
      <w:r w:rsidR="006A4213" w:rsidRPr="00CD2081">
        <w:rPr>
          <w:sz w:val="22"/>
          <w:szCs w:val="22"/>
        </w:rPr>
        <w:t>a major so</w:t>
      </w:r>
      <w:r>
        <w:rPr>
          <w:sz w:val="22"/>
          <w:szCs w:val="22"/>
        </w:rPr>
        <w:t xml:space="preserve">urce of HAP because it will </w:t>
      </w:r>
      <w:r w:rsidR="006A4213" w:rsidRPr="00CD2081">
        <w:rPr>
          <w:sz w:val="22"/>
          <w:szCs w:val="22"/>
        </w:rPr>
        <w:t xml:space="preserve">have PTE of 10 TPY or more of any one HAP or 25 TPY or more of any combination of HAP. </w:t>
      </w:r>
    </w:p>
    <w:p w:rsidR="006A4213" w:rsidRPr="00CD2081" w:rsidRDefault="006A4213" w:rsidP="006A4213">
      <w:pPr>
        <w:numPr>
          <w:ilvl w:val="0"/>
          <w:numId w:val="26"/>
        </w:numPr>
        <w:tabs>
          <w:tab w:val="clear" w:pos="720"/>
          <w:tab w:val="left" w:pos="360"/>
        </w:tabs>
        <w:spacing w:after="120"/>
        <w:ind w:left="360"/>
        <w:outlineLvl w:val="0"/>
        <w:rPr>
          <w:sz w:val="22"/>
          <w:szCs w:val="22"/>
        </w:rPr>
      </w:pPr>
      <w:r w:rsidRPr="00CD2081">
        <w:rPr>
          <w:sz w:val="22"/>
          <w:szCs w:val="22"/>
        </w:rPr>
        <w:t>The project is classified as a “Major Stationary Source” (PSD-source) because it emits 100 TPY or more of a PSD pollutant and is one of the 28 facility categories listed in the definition with the PSD applicability threshold of 100 TPY.</w:t>
      </w:r>
    </w:p>
    <w:p w:rsidR="006A4213" w:rsidRPr="00CD2081" w:rsidRDefault="006A4213" w:rsidP="006A4213">
      <w:pPr>
        <w:spacing w:after="120"/>
        <w:outlineLvl w:val="0"/>
        <w:rPr>
          <w:sz w:val="22"/>
          <w:szCs w:val="22"/>
          <w:u w:val="single"/>
        </w:rPr>
      </w:pPr>
      <w:r w:rsidRPr="00CD2081">
        <w:rPr>
          <w:bCs/>
          <w:sz w:val="22"/>
          <w:szCs w:val="22"/>
          <w:u w:val="single"/>
        </w:rPr>
        <w:t xml:space="preserve">Rule </w:t>
      </w:r>
      <w:r w:rsidRPr="00CD2081">
        <w:rPr>
          <w:sz w:val="22"/>
          <w:szCs w:val="22"/>
          <w:u w:val="single"/>
        </w:rPr>
        <w:t xml:space="preserve">62-210.300, F.A.C., Permits Required. </w:t>
      </w:r>
    </w:p>
    <w:p w:rsidR="006A4213" w:rsidRPr="00CD2081" w:rsidRDefault="006A4213" w:rsidP="006A4213">
      <w:pPr>
        <w:numPr>
          <w:ilvl w:val="0"/>
          <w:numId w:val="26"/>
        </w:numPr>
        <w:tabs>
          <w:tab w:val="clear" w:pos="720"/>
          <w:tab w:val="left" w:pos="360"/>
        </w:tabs>
        <w:spacing w:after="120"/>
        <w:ind w:left="360"/>
        <w:outlineLvl w:val="0"/>
        <w:rPr>
          <w:sz w:val="22"/>
          <w:szCs w:val="22"/>
        </w:rPr>
      </w:pPr>
      <w:r w:rsidRPr="00CD2081">
        <w:rPr>
          <w:sz w:val="22"/>
          <w:szCs w:val="22"/>
        </w:rPr>
        <w:t>Unless exempted, the owner or operator of any facility or emissions unit which emits or can reasonably be expected to emit any air pollutant shall obtain appropriate authorization (i.e. a permit) from the Department prior to undertaking any activity at the facility or emissions unit for which such authorization is required.</w:t>
      </w:r>
    </w:p>
    <w:p w:rsidR="006A4213" w:rsidRPr="00CD2081" w:rsidRDefault="006A4213" w:rsidP="006A4213">
      <w:pPr>
        <w:spacing w:after="120"/>
        <w:outlineLvl w:val="0"/>
        <w:rPr>
          <w:sz w:val="22"/>
          <w:szCs w:val="22"/>
          <w:u w:val="single"/>
        </w:rPr>
      </w:pPr>
      <w:r w:rsidRPr="00CD2081">
        <w:rPr>
          <w:bCs/>
          <w:sz w:val="22"/>
          <w:szCs w:val="22"/>
          <w:u w:val="single"/>
        </w:rPr>
        <w:t xml:space="preserve">Rule </w:t>
      </w:r>
      <w:r w:rsidRPr="00CD2081">
        <w:rPr>
          <w:sz w:val="22"/>
          <w:szCs w:val="22"/>
          <w:u w:val="single"/>
        </w:rPr>
        <w:t xml:space="preserve">62-210.350, F.A.C. Public Notice and Comment. </w:t>
      </w:r>
    </w:p>
    <w:p w:rsidR="006A4213" w:rsidRPr="00CD2081" w:rsidRDefault="006A4213" w:rsidP="006A4213">
      <w:pPr>
        <w:numPr>
          <w:ilvl w:val="0"/>
          <w:numId w:val="26"/>
        </w:numPr>
        <w:tabs>
          <w:tab w:val="clear" w:pos="720"/>
          <w:tab w:val="left" w:pos="360"/>
        </w:tabs>
        <w:spacing w:after="120"/>
        <w:ind w:left="360"/>
        <w:outlineLvl w:val="0"/>
        <w:rPr>
          <w:sz w:val="22"/>
          <w:szCs w:val="22"/>
        </w:rPr>
      </w:pPr>
      <w:r w:rsidRPr="00CD2081">
        <w:rPr>
          <w:sz w:val="22"/>
          <w:szCs w:val="22"/>
        </w:rPr>
        <w:t>A notice of proposed agency action on permit application, where the proposed agency action is to issue the permit, shall be published by any applicant.</w:t>
      </w:r>
    </w:p>
    <w:p w:rsidR="006A4213" w:rsidRPr="00CD2081" w:rsidRDefault="006A4213" w:rsidP="006A4213">
      <w:pPr>
        <w:numPr>
          <w:ilvl w:val="0"/>
          <w:numId w:val="26"/>
        </w:numPr>
        <w:tabs>
          <w:tab w:val="clear" w:pos="720"/>
          <w:tab w:val="left" w:pos="360"/>
        </w:tabs>
        <w:spacing w:after="120"/>
        <w:ind w:left="360"/>
        <w:outlineLvl w:val="0"/>
        <w:rPr>
          <w:sz w:val="22"/>
          <w:szCs w:val="22"/>
        </w:rPr>
      </w:pPr>
      <w:r w:rsidRPr="00CD2081">
        <w:rPr>
          <w:sz w:val="22"/>
          <w:szCs w:val="22"/>
        </w:rPr>
        <w:lastRenderedPageBreak/>
        <w:t>The rule details additional public notice requirements for emissions units subject to PSD.  Examples include:  the location and nature of the project; whether BACT has been determined; PSD increment consumption; and notification to the public of the opportunity to submit comments or request a public hearing (meeting).</w:t>
      </w:r>
    </w:p>
    <w:p w:rsidR="006A4213" w:rsidRPr="00CD2081" w:rsidRDefault="006A4213" w:rsidP="006A4213">
      <w:pPr>
        <w:spacing w:after="120"/>
        <w:outlineLvl w:val="0"/>
        <w:rPr>
          <w:sz w:val="22"/>
          <w:szCs w:val="22"/>
          <w:lang w:val="fr-FR"/>
        </w:rPr>
      </w:pPr>
      <w:r w:rsidRPr="00AF374A">
        <w:rPr>
          <w:b/>
          <w:sz w:val="22"/>
          <w:szCs w:val="22"/>
          <w:u w:val="single"/>
        </w:rPr>
        <w:t>Chapter</w:t>
      </w:r>
      <w:r w:rsidRPr="00CD2081">
        <w:rPr>
          <w:b/>
          <w:sz w:val="22"/>
          <w:szCs w:val="22"/>
          <w:u w:val="single"/>
          <w:lang w:val="fr-FR"/>
        </w:rPr>
        <w:t xml:space="preserve"> 62-212, F.A.C.</w:t>
      </w:r>
    </w:p>
    <w:p w:rsidR="006A4213" w:rsidRPr="00CD2081" w:rsidRDefault="006A4213" w:rsidP="006A4213">
      <w:pPr>
        <w:spacing w:after="120"/>
        <w:outlineLvl w:val="0"/>
        <w:rPr>
          <w:sz w:val="22"/>
          <w:szCs w:val="22"/>
          <w:u w:val="single"/>
        </w:rPr>
      </w:pPr>
      <w:r w:rsidRPr="00CD2081">
        <w:rPr>
          <w:bCs/>
          <w:sz w:val="22"/>
          <w:szCs w:val="22"/>
          <w:u w:val="single"/>
        </w:rPr>
        <w:t xml:space="preserve">Rule </w:t>
      </w:r>
      <w:r w:rsidRPr="00CD2081">
        <w:rPr>
          <w:sz w:val="22"/>
          <w:szCs w:val="22"/>
          <w:u w:val="single"/>
        </w:rPr>
        <w:t>62-212.300, F.A.C., General Preconstruction Review Requirements.</w:t>
      </w:r>
    </w:p>
    <w:p w:rsidR="006A4213" w:rsidRPr="00CD2081" w:rsidRDefault="006A4213" w:rsidP="006A4213">
      <w:pPr>
        <w:numPr>
          <w:ilvl w:val="0"/>
          <w:numId w:val="26"/>
        </w:numPr>
        <w:tabs>
          <w:tab w:val="clear" w:pos="720"/>
          <w:tab w:val="left" w:pos="360"/>
        </w:tabs>
        <w:spacing w:after="120"/>
        <w:ind w:left="360"/>
        <w:outlineLvl w:val="0"/>
        <w:rPr>
          <w:sz w:val="22"/>
          <w:szCs w:val="22"/>
        </w:rPr>
      </w:pPr>
      <w:r w:rsidRPr="00CD2081">
        <w:rPr>
          <w:sz w:val="22"/>
          <w:szCs w:val="22"/>
        </w:rPr>
        <w:t>This rule generally applies to the construction or modification of air pollutant emitting facilities in those parts of the state in which the state ambient air quality standards are being met.</w:t>
      </w:r>
    </w:p>
    <w:p w:rsidR="006A4213" w:rsidRPr="00CD2081" w:rsidRDefault="006A4213" w:rsidP="006A4213">
      <w:pPr>
        <w:spacing w:after="120"/>
        <w:outlineLvl w:val="0"/>
        <w:rPr>
          <w:sz w:val="22"/>
          <w:szCs w:val="22"/>
          <w:u w:val="single"/>
        </w:rPr>
      </w:pPr>
      <w:r w:rsidRPr="00CD2081">
        <w:rPr>
          <w:bCs/>
          <w:sz w:val="22"/>
          <w:szCs w:val="22"/>
          <w:u w:val="single"/>
        </w:rPr>
        <w:t xml:space="preserve">Rule </w:t>
      </w:r>
      <w:r w:rsidRPr="00CD2081">
        <w:rPr>
          <w:sz w:val="22"/>
          <w:szCs w:val="22"/>
          <w:u w:val="single"/>
        </w:rPr>
        <w:t>62-212.400, F.A.C., PSD.</w:t>
      </w:r>
    </w:p>
    <w:p w:rsidR="00114045" w:rsidRDefault="006A4213" w:rsidP="006A4213">
      <w:pPr>
        <w:numPr>
          <w:ilvl w:val="0"/>
          <w:numId w:val="26"/>
        </w:numPr>
        <w:tabs>
          <w:tab w:val="clear" w:pos="720"/>
          <w:tab w:val="left" w:pos="360"/>
        </w:tabs>
        <w:spacing w:after="120"/>
        <w:ind w:left="360"/>
        <w:outlineLvl w:val="0"/>
        <w:rPr>
          <w:sz w:val="22"/>
          <w:szCs w:val="22"/>
        </w:rPr>
      </w:pPr>
      <w:r w:rsidRPr="00CD2081">
        <w:rPr>
          <w:sz w:val="22"/>
          <w:szCs w:val="22"/>
        </w:rPr>
        <w:t>The rule applies because the project is a major stationary (PSD) source.</w:t>
      </w:r>
    </w:p>
    <w:p w:rsidR="006A4213" w:rsidRPr="00CD2081" w:rsidRDefault="006A4213" w:rsidP="006A4213">
      <w:pPr>
        <w:spacing w:after="120"/>
        <w:outlineLvl w:val="0"/>
        <w:rPr>
          <w:sz w:val="22"/>
          <w:szCs w:val="22"/>
          <w:lang w:val="fr-FR"/>
        </w:rPr>
      </w:pPr>
      <w:r w:rsidRPr="00667FA1">
        <w:rPr>
          <w:b/>
          <w:sz w:val="22"/>
          <w:szCs w:val="22"/>
          <w:u w:val="single"/>
        </w:rPr>
        <w:t>Chapter</w:t>
      </w:r>
      <w:r w:rsidRPr="00CD2081">
        <w:rPr>
          <w:b/>
          <w:sz w:val="22"/>
          <w:szCs w:val="22"/>
          <w:u w:val="single"/>
          <w:lang w:val="fr-FR"/>
        </w:rPr>
        <w:t xml:space="preserve"> 62-213, F.A.C.</w:t>
      </w:r>
    </w:p>
    <w:p w:rsidR="006A4213" w:rsidRPr="00114045" w:rsidRDefault="006A4213" w:rsidP="00614117">
      <w:pPr>
        <w:numPr>
          <w:ilvl w:val="0"/>
          <w:numId w:val="26"/>
        </w:numPr>
        <w:tabs>
          <w:tab w:val="clear" w:pos="720"/>
          <w:tab w:val="left" w:pos="360"/>
        </w:tabs>
        <w:spacing w:after="120"/>
        <w:ind w:left="360"/>
        <w:outlineLvl w:val="0"/>
        <w:rPr>
          <w:sz w:val="22"/>
          <w:szCs w:val="22"/>
        </w:rPr>
      </w:pPr>
      <w:r w:rsidRPr="00114045">
        <w:rPr>
          <w:sz w:val="22"/>
          <w:szCs w:val="22"/>
        </w:rPr>
        <w:t>Because the facility is a Title V source, the applicant will be required to apply for and obtain a Title V operation permit in the future.</w:t>
      </w:r>
    </w:p>
    <w:p w:rsidR="006A4213" w:rsidRPr="00CD2081" w:rsidRDefault="006A4213" w:rsidP="006A4213">
      <w:pPr>
        <w:spacing w:after="120"/>
        <w:outlineLvl w:val="0"/>
        <w:rPr>
          <w:sz w:val="22"/>
          <w:szCs w:val="22"/>
          <w:lang w:val="fr-FR"/>
        </w:rPr>
      </w:pPr>
      <w:r w:rsidRPr="00AF374A">
        <w:rPr>
          <w:b/>
          <w:sz w:val="22"/>
          <w:szCs w:val="22"/>
          <w:u w:val="single"/>
        </w:rPr>
        <w:t>Chapter</w:t>
      </w:r>
      <w:r w:rsidRPr="00CD2081">
        <w:rPr>
          <w:b/>
          <w:sz w:val="22"/>
          <w:szCs w:val="22"/>
          <w:u w:val="single"/>
          <w:lang w:val="fr-FR"/>
        </w:rPr>
        <w:t xml:space="preserve"> 62-296, F.A.C.</w:t>
      </w:r>
    </w:p>
    <w:p w:rsidR="006A4213" w:rsidRPr="00CD2081" w:rsidRDefault="006A4213" w:rsidP="006A4213">
      <w:pPr>
        <w:spacing w:after="120"/>
        <w:outlineLvl w:val="0"/>
        <w:rPr>
          <w:bCs/>
          <w:sz w:val="22"/>
          <w:szCs w:val="22"/>
          <w:u w:val="single"/>
        </w:rPr>
      </w:pPr>
      <w:r w:rsidRPr="00CD2081">
        <w:rPr>
          <w:bCs/>
          <w:sz w:val="22"/>
          <w:szCs w:val="22"/>
          <w:u w:val="single"/>
        </w:rPr>
        <w:t>Rule 62-296.320, F.A.C., General Pollutant Emission Limitation Standards.</w:t>
      </w:r>
    </w:p>
    <w:p w:rsidR="006A4213" w:rsidRPr="00CD2081" w:rsidRDefault="006A4213" w:rsidP="006A4213">
      <w:pPr>
        <w:numPr>
          <w:ilvl w:val="0"/>
          <w:numId w:val="26"/>
        </w:numPr>
        <w:tabs>
          <w:tab w:val="clear" w:pos="720"/>
          <w:tab w:val="left" w:pos="360"/>
        </w:tabs>
        <w:spacing w:after="120"/>
        <w:ind w:left="360"/>
        <w:outlineLvl w:val="0"/>
        <w:rPr>
          <w:sz w:val="22"/>
          <w:szCs w:val="22"/>
        </w:rPr>
      </w:pPr>
      <w:r w:rsidRPr="00CD2081">
        <w:rPr>
          <w:sz w:val="22"/>
          <w:szCs w:val="22"/>
        </w:rPr>
        <w:t xml:space="preserve">This rule prohibits the discharge of air pollutants which cause or contribute to an objectionable odor; </w:t>
      </w:r>
    </w:p>
    <w:p w:rsidR="006A4213" w:rsidRPr="00CD2081" w:rsidRDefault="006A4213" w:rsidP="006A4213">
      <w:pPr>
        <w:numPr>
          <w:ilvl w:val="0"/>
          <w:numId w:val="26"/>
        </w:numPr>
        <w:tabs>
          <w:tab w:val="clear" w:pos="720"/>
          <w:tab w:val="left" w:pos="360"/>
        </w:tabs>
        <w:spacing w:after="120"/>
        <w:ind w:left="360"/>
        <w:outlineLvl w:val="0"/>
        <w:rPr>
          <w:sz w:val="22"/>
          <w:szCs w:val="22"/>
        </w:rPr>
      </w:pPr>
      <w:r w:rsidRPr="00CD2081">
        <w:rPr>
          <w:sz w:val="22"/>
          <w:szCs w:val="22"/>
        </w:rPr>
        <w:t xml:space="preserve">This rule specifies a visible emissions standard of 20 percent (%) opacity; and </w:t>
      </w:r>
    </w:p>
    <w:p w:rsidR="006A4213" w:rsidRPr="00CD2081" w:rsidRDefault="006A4213" w:rsidP="006A4213">
      <w:pPr>
        <w:numPr>
          <w:ilvl w:val="0"/>
          <w:numId w:val="26"/>
        </w:numPr>
        <w:tabs>
          <w:tab w:val="clear" w:pos="720"/>
          <w:tab w:val="left" w:pos="360"/>
        </w:tabs>
        <w:spacing w:after="120"/>
        <w:ind w:left="360"/>
        <w:outlineLvl w:val="0"/>
        <w:rPr>
          <w:sz w:val="22"/>
          <w:szCs w:val="22"/>
        </w:rPr>
      </w:pPr>
      <w:r w:rsidRPr="00CD2081">
        <w:rPr>
          <w:sz w:val="22"/>
          <w:szCs w:val="22"/>
        </w:rPr>
        <w:t>The rule prohibits emissions of unconfined PM provisions without taking reasonable precautions to prevent such emissions.</w:t>
      </w:r>
    </w:p>
    <w:p w:rsidR="006A4213" w:rsidRPr="00CD2081" w:rsidRDefault="006A4213" w:rsidP="006A4213">
      <w:pPr>
        <w:spacing w:after="120"/>
        <w:outlineLvl w:val="0"/>
        <w:rPr>
          <w:bCs/>
          <w:sz w:val="22"/>
          <w:szCs w:val="22"/>
          <w:u w:val="single"/>
        </w:rPr>
      </w:pPr>
      <w:r w:rsidRPr="00CD2081">
        <w:rPr>
          <w:bCs/>
          <w:sz w:val="22"/>
          <w:szCs w:val="22"/>
          <w:u w:val="single"/>
        </w:rPr>
        <w:t xml:space="preserve">Rule 62-296.410, F.A.C., Carbonaceous Fuel Burning Equipment. </w:t>
      </w:r>
    </w:p>
    <w:p w:rsidR="000B7CC2" w:rsidRPr="004769E4" w:rsidRDefault="006A4213" w:rsidP="004769E4">
      <w:pPr>
        <w:numPr>
          <w:ilvl w:val="0"/>
          <w:numId w:val="26"/>
        </w:numPr>
        <w:tabs>
          <w:tab w:val="clear" w:pos="720"/>
          <w:tab w:val="left" w:pos="360"/>
        </w:tabs>
        <w:spacing w:after="120"/>
        <w:ind w:left="360"/>
        <w:outlineLvl w:val="0"/>
        <w:rPr>
          <w:sz w:val="22"/>
          <w:szCs w:val="22"/>
        </w:rPr>
      </w:pPr>
      <w:r>
        <w:rPr>
          <w:bCs/>
          <w:sz w:val="22"/>
          <w:szCs w:val="22"/>
        </w:rPr>
        <w:t xml:space="preserve">Cane bagasse </w:t>
      </w:r>
      <w:r w:rsidRPr="00CD2081">
        <w:rPr>
          <w:bCs/>
          <w:sz w:val="22"/>
          <w:szCs w:val="22"/>
        </w:rPr>
        <w:t>is carbonaceous fuel when directly combusted and this rule requires that the carbonaceous component of fuel combustion comply</w:t>
      </w:r>
      <w:r w:rsidR="000B7CC2">
        <w:rPr>
          <w:bCs/>
          <w:sz w:val="22"/>
          <w:szCs w:val="22"/>
        </w:rPr>
        <w:t xml:space="preserve"> with a PM standard of 0.2 lb/MM</w:t>
      </w:r>
      <w:r w:rsidRPr="00CD2081">
        <w:rPr>
          <w:bCs/>
          <w:sz w:val="22"/>
          <w:szCs w:val="22"/>
        </w:rPr>
        <w:t xml:space="preserve">Btu.  Visible emissions are limited to 30% opacity except that 40% opacity is permissible for not more than 2 minutes in </w:t>
      </w:r>
      <w:r w:rsidR="004769E4">
        <w:rPr>
          <w:bCs/>
          <w:sz w:val="22"/>
          <w:szCs w:val="22"/>
        </w:rPr>
        <w:t>any hour.</w:t>
      </w:r>
    </w:p>
    <w:p w:rsidR="007938AA" w:rsidRPr="007938AA" w:rsidRDefault="007938AA" w:rsidP="007938AA">
      <w:pPr>
        <w:pStyle w:val="ListParagraph"/>
        <w:widowControl w:val="0"/>
        <w:numPr>
          <w:ilvl w:val="1"/>
          <w:numId w:val="15"/>
        </w:numPr>
        <w:spacing w:before="120" w:after="120"/>
        <w:ind w:left="720" w:hanging="720"/>
        <w:contextualSpacing w:val="0"/>
        <w:rPr>
          <w:b/>
          <w:sz w:val="22"/>
          <w:szCs w:val="22"/>
        </w:rPr>
      </w:pPr>
      <w:r w:rsidRPr="007938AA">
        <w:rPr>
          <w:b/>
          <w:sz w:val="22"/>
          <w:szCs w:val="22"/>
        </w:rPr>
        <w:t>Applicable Federal Regulations</w:t>
      </w:r>
    </w:p>
    <w:p w:rsidR="007938AA" w:rsidRDefault="007938AA" w:rsidP="007938AA">
      <w:pPr>
        <w:pStyle w:val="BodyText2"/>
        <w:widowControl w:val="0"/>
        <w:numPr>
          <w:ilvl w:val="0"/>
          <w:numId w:val="0"/>
        </w:numPr>
        <w:jc w:val="left"/>
        <w:rPr>
          <w:szCs w:val="22"/>
        </w:rPr>
      </w:pPr>
      <w:r>
        <w:rPr>
          <w:szCs w:val="22"/>
        </w:rPr>
        <w:t>F</w:t>
      </w:r>
      <w:r w:rsidRPr="007938AA">
        <w:rPr>
          <w:szCs w:val="22"/>
        </w:rPr>
        <w:t xml:space="preserve">or this project, the following </w:t>
      </w:r>
      <w:r>
        <w:rPr>
          <w:szCs w:val="22"/>
        </w:rPr>
        <w:t>federal</w:t>
      </w:r>
      <w:r w:rsidRPr="007938AA">
        <w:rPr>
          <w:szCs w:val="22"/>
        </w:rPr>
        <w:t xml:space="preserve"> regulations </w:t>
      </w:r>
      <w:r>
        <w:rPr>
          <w:szCs w:val="22"/>
        </w:rPr>
        <w:t>are applicable.</w:t>
      </w:r>
    </w:p>
    <w:p w:rsidR="007938AA" w:rsidRPr="007938AA" w:rsidRDefault="007938AA" w:rsidP="007938AA">
      <w:pPr>
        <w:pStyle w:val="BodyText2"/>
        <w:widowControl w:val="0"/>
        <w:numPr>
          <w:ilvl w:val="0"/>
          <w:numId w:val="0"/>
        </w:numPr>
        <w:jc w:val="left"/>
        <w:rPr>
          <w:b/>
          <w:szCs w:val="22"/>
          <w:u w:val="single"/>
        </w:rPr>
      </w:pPr>
      <w:r w:rsidRPr="007938AA">
        <w:rPr>
          <w:b/>
          <w:szCs w:val="22"/>
          <w:u w:val="single"/>
        </w:rPr>
        <w:t>NSPS in 40 CFR 60</w:t>
      </w:r>
    </w:p>
    <w:p w:rsidR="007938AA" w:rsidRPr="00CD2081" w:rsidRDefault="007938AA" w:rsidP="007938AA">
      <w:pPr>
        <w:numPr>
          <w:ilvl w:val="0"/>
          <w:numId w:val="26"/>
        </w:numPr>
        <w:tabs>
          <w:tab w:val="clear" w:pos="720"/>
          <w:tab w:val="left" w:pos="360"/>
        </w:tabs>
        <w:spacing w:after="120"/>
        <w:ind w:left="360"/>
        <w:outlineLvl w:val="0"/>
        <w:rPr>
          <w:sz w:val="22"/>
          <w:szCs w:val="22"/>
        </w:rPr>
      </w:pPr>
      <w:r w:rsidRPr="00CD2081">
        <w:rPr>
          <w:sz w:val="22"/>
          <w:szCs w:val="22"/>
        </w:rPr>
        <w:t xml:space="preserve">40 CFR 60, Subpart A – General Provisions which regulates all EU that are subject to a NSPS standard and, in particular, flare pilot flames </w:t>
      </w:r>
      <w:r w:rsidRPr="005949B6">
        <w:rPr>
          <w:sz w:val="22"/>
          <w:szCs w:val="22"/>
        </w:rPr>
        <w:t>(EU 005);</w:t>
      </w:r>
    </w:p>
    <w:p w:rsidR="007938AA" w:rsidRDefault="007938AA" w:rsidP="007938AA">
      <w:pPr>
        <w:numPr>
          <w:ilvl w:val="0"/>
          <w:numId w:val="26"/>
        </w:numPr>
        <w:tabs>
          <w:tab w:val="clear" w:pos="720"/>
          <w:tab w:val="left" w:pos="360"/>
        </w:tabs>
        <w:spacing w:after="120"/>
        <w:ind w:left="360"/>
        <w:outlineLvl w:val="0"/>
        <w:rPr>
          <w:sz w:val="22"/>
          <w:szCs w:val="22"/>
        </w:rPr>
      </w:pPr>
      <w:r w:rsidRPr="00CD2081">
        <w:rPr>
          <w:sz w:val="22"/>
          <w:szCs w:val="22"/>
        </w:rPr>
        <w:t xml:space="preserve">40 CFR 60, Subpart Db – Industrial-Commercial-Institutional Steam Generating Units (EU 002); </w:t>
      </w:r>
    </w:p>
    <w:p w:rsidR="007938AA" w:rsidRPr="00CD2081" w:rsidRDefault="007938AA" w:rsidP="007938AA">
      <w:pPr>
        <w:numPr>
          <w:ilvl w:val="0"/>
          <w:numId w:val="26"/>
        </w:numPr>
        <w:tabs>
          <w:tab w:val="clear" w:pos="720"/>
          <w:tab w:val="left" w:pos="360"/>
        </w:tabs>
        <w:spacing w:after="120"/>
        <w:ind w:left="360"/>
        <w:outlineLvl w:val="0"/>
        <w:rPr>
          <w:sz w:val="22"/>
          <w:szCs w:val="22"/>
        </w:rPr>
      </w:pPr>
      <w:r>
        <w:rPr>
          <w:sz w:val="22"/>
          <w:szCs w:val="22"/>
        </w:rPr>
        <w:t xml:space="preserve">40 CFR 60, Subpart </w:t>
      </w:r>
      <w:proofErr w:type="spellStart"/>
      <w:r>
        <w:rPr>
          <w:sz w:val="22"/>
          <w:szCs w:val="22"/>
        </w:rPr>
        <w:t>Kb</w:t>
      </w:r>
      <w:proofErr w:type="spellEnd"/>
      <w:r>
        <w:rPr>
          <w:sz w:val="22"/>
          <w:szCs w:val="22"/>
        </w:rPr>
        <w:t xml:space="preserve"> - </w:t>
      </w:r>
      <w:r w:rsidRPr="00285B92">
        <w:rPr>
          <w:sz w:val="22"/>
          <w:szCs w:val="22"/>
        </w:rPr>
        <w:t>Standards of Performance for Volatile Organic Liquid Storage Vessels for Which Construction, Reconstruction, or Modification Commenced After July 23, 1984</w:t>
      </w:r>
      <w:r>
        <w:rPr>
          <w:sz w:val="22"/>
          <w:szCs w:val="22"/>
        </w:rPr>
        <w:t xml:space="preserve"> (EU 006);</w:t>
      </w:r>
    </w:p>
    <w:p w:rsidR="007938AA" w:rsidRDefault="007938AA" w:rsidP="007938AA">
      <w:pPr>
        <w:numPr>
          <w:ilvl w:val="0"/>
          <w:numId w:val="26"/>
        </w:numPr>
        <w:tabs>
          <w:tab w:val="clear" w:pos="720"/>
          <w:tab w:val="left" w:pos="360"/>
        </w:tabs>
        <w:spacing w:after="120"/>
        <w:ind w:left="360"/>
        <w:outlineLvl w:val="0"/>
        <w:rPr>
          <w:sz w:val="22"/>
          <w:szCs w:val="22"/>
        </w:rPr>
      </w:pPr>
      <w:r w:rsidRPr="00CD2081">
        <w:rPr>
          <w:sz w:val="22"/>
          <w:szCs w:val="22"/>
        </w:rPr>
        <w:t>40 CFR 60, Subpart IIII – Stationary Compression Ignition Internal Combustion Engines (ICE)</w:t>
      </w:r>
      <w:r>
        <w:rPr>
          <w:sz w:val="22"/>
          <w:szCs w:val="22"/>
        </w:rPr>
        <w:t xml:space="preserve"> </w:t>
      </w:r>
      <w:r w:rsidRPr="005949B6">
        <w:rPr>
          <w:sz w:val="22"/>
          <w:szCs w:val="22"/>
        </w:rPr>
        <w:t>(EU 008)</w:t>
      </w:r>
      <w:r>
        <w:rPr>
          <w:sz w:val="22"/>
          <w:szCs w:val="22"/>
        </w:rPr>
        <w:t>;</w:t>
      </w:r>
    </w:p>
    <w:p w:rsidR="007938AA" w:rsidRDefault="007938AA" w:rsidP="007938AA">
      <w:pPr>
        <w:numPr>
          <w:ilvl w:val="0"/>
          <w:numId w:val="26"/>
        </w:numPr>
        <w:tabs>
          <w:tab w:val="clear" w:pos="720"/>
          <w:tab w:val="left" w:pos="360"/>
        </w:tabs>
        <w:spacing w:after="120"/>
        <w:ind w:left="360"/>
        <w:outlineLvl w:val="0"/>
        <w:rPr>
          <w:sz w:val="22"/>
          <w:szCs w:val="22"/>
        </w:rPr>
      </w:pPr>
      <w:r w:rsidRPr="00CD2081">
        <w:rPr>
          <w:sz w:val="22"/>
          <w:szCs w:val="22"/>
        </w:rPr>
        <w:t>40 CFR 60</w:t>
      </w:r>
      <w:r>
        <w:rPr>
          <w:sz w:val="22"/>
          <w:szCs w:val="22"/>
        </w:rPr>
        <w:t>,</w:t>
      </w:r>
      <w:r w:rsidRPr="00CD2081">
        <w:rPr>
          <w:sz w:val="22"/>
          <w:szCs w:val="22"/>
        </w:rPr>
        <w:t xml:space="preserve"> Subpart </w:t>
      </w:r>
      <w:r>
        <w:rPr>
          <w:sz w:val="22"/>
          <w:szCs w:val="22"/>
        </w:rPr>
        <w:t>VVa</w:t>
      </w:r>
      <w:r w:rsidRPr="00CD2081">
        <w:rPr>
          <w:sz w:val="22"/>
          <w:szCs w:val="22"/>
        </w:rPr>
        <w:t xml:space="preserve"> – VOC </w:t>
      </w:r>
      <w:r>
        <w:rPr>
          <w:sz w:val="22"/>
          <w:szCs w:val="22"/>
        </w:rPr>
        <w:t>Equipment Leaks</w:t>
      </w:r>
      <w:r w:rsidRPr="00CD2081">
        <w:rPr>
          <w:sz w:val="22"/>
          <w:szCs w:val="22"/>
        </w:rPr>
        <w:t xml:space="preserve"> from SOCMI Processes</w:t>
      </w:r>
      <w:r>
        <w:rPr>
          <w:sz w:val="22"/>
          <w:szCs w:val="22"/>
        </w:rPr>
        <w:t xml:space="preserve"> (</w:t>
      </w:r>
      <w:r w:rsidRPr="005949B6">
        <w:rPr>
          <w:sz w:val="22"/>
          <w:szCs w:val="22"/>
        </w:rPr>
        <w:t>EU 002, 003,004, 005, 006, 007 and 009</w:t>
      </w:r>
      <w:r>
        <w:rPr>
          <w:sz w:val="22"/>
          <w:szCs w:val="22"/>
        </w:rPr>
        <w:t>)</w:t>
      </w:r>
      <w:r w:rsidRPr="00CD2081">
        <w:rPr>
          <w:sz w:val="22"/>
          <w:szCs w:val="22"/>
        </w:rPr>
        <w:t>.</w:t>
      </w:r>
    </w:p>
    <w:p w:rsidR="007938AA" w:rsidRPr="007938AA" w:rsidRDefault="007938AA" w:rsidP="007938AA">
      <w:pPr>
        <w:tabs>
          <w:tab w:val="left" w:pos="360"/>
        </w:tabs>
        <w:spacing w:after="120"/>
        <w:outlineLvl w:val="0"/>
        <w:rPr>
          <w:b/>
          <w:sz w:val="22"/>
          <w:szCs w:val="22"/>
          <w:u w:val="single"/>
        </w:rPr>
      </w:pPr>
      <w:r w:rsidRPr="007938AA">
        <w:rPr>
          <w:b/>
          <w:sz w:val="22"/>
          <w:szCs w:val="22"/>
          <w:u w:val="single"/>
        </w:rPr>
        <w:t>NESHAP in 40 CFR 63</w:t>
      </w:r>
    </w:p>
    <w:p w:rsidR="007938AA" w:rsidRDefault="007938AA" w:rsidP="007938AA">
      <w:pPr>
        <w:numPr>
          <w:ilvl w:val="0"/>
          <w:numId w:val="26"/>
        </w:numPr>
        <w:tabs>
          <w:tab w:val="clear" w:pos="720"/>
          <w:tab w:val="left" w:pos="360"/>
        </w:tabs>
        <w:spacing w:after="120"/>
        <w:ind w:left="360"/>
        <w:outlineLvl w:val="0"/>
        <w:rPr>
          <w:sz w:val="22"/>
          <w:szCs w:val="22"/>
        </w:rPr>
      </w:pPr>
      <w:r w:rsidRPr="00CD2081">
        <w:rPr>
          <w:sz w:val="22"/>
          <w:szCs w:val="22"/>
        </w:rPr>
        <w:t>40 CFR 63, Subpart A – General Provisions</w:t>
      </w:r>
      <w:r>
        <w:rPr>
          <w:sz w:val="22"/>
          <w:szCs w:val="22"/>
        </w:rPr>
        <w:t xml:space="preserve"> (to the extent explicitly </w:t>
      </w:r>
      <w:r w:rsidRPr="0045034F">
        <w:rPr>
          <w:sz w:val="22"/>
          <w:szCs w:val="22"/>
        </w:rPr>
        <w:t>identif</w:t>
      </w:r>
      <w:r>
        <w:rPr>
          <w:sz w:val="22"/>
          <w:szCs w:val="22"/>
        </w:rPr>
        <w:t xml:space="preserve">ied within each applicable 40 CFR 63 standard); </w:t>
      </w:r>
    </w:p>
    <w:p w:rsidR="007938AA" w:rsidRPr="00CD2081" w:rsidRDefault="007938AA" w:rsidP="007938AA">
      <w:pPr>
        <w:numPr>
          <w:ilvl w:val="0"/>
          <w:numId w:val="26"/>
        </w:numPr>
        <w:tabs>
          <w:tab w:val="clear" w:pos="720"/>
          <w:tab w:val="left" w:pos="360"/>
        </w:tabs>
        <w:spacing w:after="120"/>
        <w:ind w:left="360"/>
        <w:outlineLvl w:val="0"/>
        <w:rPr>
          <w:sz w:val="22"/>
          <w:szCs w:val="22"/>
        </w:rPr>
      </w:pPr>
      <w:r w:rsidRPr="00CD2081">
        <w:rPr>
          <w:sz w:val="22"/>
          <w:szCs w:val="22"/>
        </w:rPr>
        <w:lastRenderedPageBreak/>
        <w:t>40 CFR 63, Subpart ZZZZ – Stationary Reciprocating Internal Combustion Engines (RICE).  This subpart requires all affected area source units to meet the applicable emission standards of 40 CFR 60, Subpart IIII</w:t>
      </w:r>
      <w:r>
        <w:rPr>
          <w:sz w:val="22"/>
          <w:szCs w:val="22"/>
        </w:rPr>
        <w:t>.  40 CFR 63, Subpart A is explicitly excluded when applying this standard</w:t>
      </w:r>
      <w:r w:rsidRPr="00CD2081">
        <w:rPr>
          <w:sz w:val="22"/>
          <w:szCs w:val="22"/>
        </w:rPr>
        <w:t>.</w:t>
      </w:r>
    </w:p>
    <w:p w:rsidR="007938AA" w:rsidRPr="00CD2081" w:rsidRDefault="007938AA" w:rsidP="007938AA">
      <w:pPr>
        <w:numPr>
          <w:ilvl w:val="0"/>
          <w:numId w:val="26"/>
        </w:numPr>
        <w:tabs>
          <w:tab w:val="clear" w:pos="720"/>
          <w:tab w:val="left" w:pos="360"/>
        </w:tabs>
        <w:spacing w:after="120"/>
        <w:ind w:left="360"/>
        <w:outlineLvl w:val="0"/>
        <w:rPr>
          <w:sz w:val="22"/>
          <w:szCs w:val="22"/>
        </w:rPr>
      </w:pPr>
      <w:r w:rsidRPr="00CD2081">
        <w:rPr>
          <w:sz w:val="22"/>
          <w:szCs w:val="22"/>
        </w:rPr>
        <w:t>40 CFR 63, Subpart DDDDD – Industrial, Commercial, and Institutional Boilers and Process Heaters</w:t>
      </w:r>
      <w:r w:rsidR="000B7CC2">
        <w:rPr>
          <w:sz w:val="22"/>
          <w:szCs w:val="22"/>
        </w:rPr>
        <w:t xml:space="preserve"> (EU 002)</w:t>
      </w:r>
      <w:r>
        <w:rPr>
          <w:sz w:val="22"/>
          <w:szCs w:val="22"/>
        </w:rPr>
        <w:t>;</w:t>
      </w:r>
    </w:p>
    <w:p w:rsidR="007938AA" w:rsidRPr="000E7643" w:rsidRDefault="007938AA" w:rsidP="007938AA">
      <w:pPr>
        <w:numPr>
          <w:ilvl w:val="0"/>
          <w:numId w:val="26"/>
        </w:numPr>
        <w:tabs>
          <w:tab w:val="clear" w:pos="720"/>
          <w:tab w:val="left" w:pos="360"/>
        </w:tabs>
        <w:spacing w:after="120"/>
        <w:ind w:left="360"/>
        <w:outlineLvl w:val="0"/>
        <w:rPr>
          <w:sz w:val="22"/>
          <w:szCs w:val="22"/>
        </w:rPr>
      </w:pPr>
      <w:r w:rsidRPr="00CD2081">
        <w:rPr>
          <w:sz w:val="22"/>
          <w:szCs w:val="22"/>
        </w:rPr>
        <w:t>40 CFR 63, Subpart FFFF –</w:t>
      </w:r>
      <w:r>
        <w:rPr>
          <w:sz w:val="22"/>
          <w:szCs w:val="22"/>
        </w:rPr>
        <w:t xml:space="preserve"> </w:t>
      </w:r>
      <w:r w:rsidRPr="00CD2081">
        <w:rPr>
          <w:sz w:val="22"/>
          <w:szCs w:val="22"/>
        </w:rPr>
        <w:t>Miscellaneous Organic Chemical Manufacturing</w:t>
      </w:r>
      <w:r w:rsidR="00614117">
        <w:rPr>
          <w:sz w:val="22"/>
          <w:szCs w:val="22"/>
        </w:rPr>
        <w:t xml:space="preserve"> (which references Subparts H</w:t>
      </w:r>
      <w:r>
        <w:rPr>
          <w:sz w:val="22"/>
          <w:szCs w:val="22"/>
        </w:rPr>
        <w:t xml:space="preserve">, Q, SS, TT, UU, WW, and GGG). </w:t>
      </w:r>
    </w:p>
    <w:p w:rsidR="00584D97" w:rsidRPr="0011488A" w:rsidRDefault="000E7643" w:rsidP="00AF374A">
      <w:pPr>
        <w:pStyle w:val="ListParagraph"/>
        <w:widowControl w:val="0"/>
        <w:numPr>
          <w:ilvl w:val="0"/>
          <w:numId w:val="15"/>
        </w:numPr>
        <w:spacing w:after="120"/>
        <w:ind w:left="720" w:hanging="720"/>
        <w:contextualSpacing w:val="0"/>
        <w:rPr>
          <w:rFonts w:ascii="Times New Roman Bold" w:hAnsi="Times New Roman Bold"/>
          <w:b/>
          <w:caps/>
          <w:sz w:val="22"/>
          <w:szCs w:val="22"/>
        </w:rPr>
      </w:pPr>
      <w:r w:rsidRPr="000E7643">
        <w:rPr>
          <w:rFonts w:ascii="Times New Roman Bold" w:hAnsi="Times New Roman Bold"/>
          <w:b/>
          <w:caps/>
          <w:color w:val="000000" w:themeColor="text1"/>
          <w:sz w:val="22"/>
          <w:szCs w:val="22"/>
        </w:rPr>
        <w:t>BACT Review for Roadway Emissions and feedstock and Biomass Handling (EU 001)</w:t>
      </w:r>
      <w:r w:rsidR="0011488A">
        <w:rPr>
          <w:rFonts w:ascii="Times New Roman Bold" w:hAnsi="Times New Roman Bold"/>
          <w:b/>
          <w:caps/>
          <w:color w:val="000000" w:themeColor="text1"/>
          <w:sz w:val="22"/>
          <w:szCs w:val="22"/>
        </w:rPr>
        <w:t xml:space="preserve">:  </w:t>
      </w:r>
      <w:r w:rsidR="006C2339" w:rsidRPr="0011488A">
        <w:rPr>
          <w:b/>
          <w:sz w:val="22"/>
          <w:szCs w:val="22"/>
        </w:rPr>
        <w:t>PM, PM</w:t>
      </w:r>
      <w:r w:rsidR="006C2339" w:rsidRPr="0011488A">
        <w:rPr>
          <w:b/>
          <w:sz w:val="22"/>
          <w:szCs w:val="22"/>
          <w:vertAlign w:val="subscript"/>
        </w:rPr>
        <w:t>10</w:t>
      </w:r>
      <w:r w:rsidR="006C2339" w:rsidRPr="0011488A">
        <w:rPr>
          <w:b/>
          <w:sz w:val="22"/>
          <w:szCs w:val="22"/>
        </w:rPr>
        <w:t>, and PM</w:t>
      </w:r>
      <w:r w:rsidR="006C2339" w:rsidRPr="0011488A">
        <w:rPr>
          <w:b/>
          <w:sz w:val="22"/>
          <w:szCs w:val="22"/>
          <w:vertAlign w:val="subscript"/>
        </w:rPr>
        <w:t>2.5</w:t>
      </w:r>
      <w:r w:rsidR="00190881" w:rsidRPr="0011488A">
        <w:rPr>
          <w:b/>
          <w:sz w:val="22"/>
          <w:szCs w:val="22"/>
        </w:rPr>
        <w:t xml:space="preserve"> Emissions</w:t>
      </w:r>
    </w:p>
    <w:p w:rsidR="00584D97" w:rsidRDefault="00584D97" w:rsidP="0011488A">
      <w:pPr>
        <w:pStyle w:val="ListParagraph"/>
        <w:widowControl w:val="0"/>
        <w:numPr>
          <w:ilvl w:val="1"/>
          <w:numId w:val="15"/>
        </w:numPr>
        <w:spacing w:before="120" w:after="120"/>
        <w:ind w:left="720" w:hanging="720"/>
        <w:contextualSpacing w:val="0"/>
        <w:rPr>
          <w:b/>
          <w:sz w:val="22"/>
          <w:szCs w:val="22"/>
        </w:rPr>
      </w:pPr>
      <w:r w:rsidRPr="0011488A">
        <w:rPr>
          <w:b/>
          <w:sz w:val="22"/>
          <w:szCs w:val="22"/>
        </w:rPr>
        <w:t>Discussion</w:t>
      </w:r>
    </w:p>
    <w:p w:rsidR="0011488A" w:rsidRPr="0011488A" w:rsidRDefault="0011488A" w:rsidP="0011488A">
      <w:pPr>
        <w:widowControl w:val="0"/>
        <w:spacing w:after="120"/>
        <w:rPr>
          <w:sz w:val="22"/>
          <w:szCs w:val="22"/>
        </w:rPr>
      </w:pPr>
      <w:r w:rsidRPr="0011488A">
        <w:rPr>
          <w:sz w:val="22"/>
          <w:szCs w:val="22"/>
        </w:rPr>
        <w:t>PM</w:t>
      </w:r>
      <w:r w:rsidR="000B7CC2">
        <w:rPr>
          <w:sz w:val="22"/>
          <w:szCs w:val="22"/>
        </w:rPr>
        <w:t xml:space="preserve">, </w:t>
      </w:r>
      <w:r w:rsidRPr="0011488A">
        <w:rPr>
          <w:sz w:val="22"/>
          <w:szCs w:val="22"/>
        </w:rPr>
        <w:t>PM</w:t>
      </w:r>
      <w:r w:rsidRPr="0011488A">
        <w:rPr>
          <w:sz w:val="22"/>
          <w:szCs w:val="22"/>
          <w:vertAlign w:val="subscript"/>
        </w:rPr>
        <w:t>10</w:t>
      </w:r>
      <w:r w:rsidR="000B7CC2">
        <w:rPr>
          <w:sz w:val="22"/>
          <w:szCs w:val="22"/>
        </w:rPr>
        <w:t>, and PM</w:t>
      </w:r>
      <w:r w:rsidR="000B7CC2" w:rsidRPr="000B7CC2">
        <w:rPr>
          <w:sz w:val="22"/>
          <w:szCs w:val="22"/>
          <w:vertAlign w:val="subscript"/>
        </w:rPr>
        <w:t>2.5</w:t>
      </w:r>
      <w:r w:rsidRPr="0011488A">
        <w:rPr>
          <w:sz w:val="22"/>
          <w:szCs w:val="22"/>
        </w:rPr>
        <w:t xml:space="preserve"> represent the only pollution of concern from EU 001.  Refer to the description of EU 001 in Section 2.1 above.  The trucks that will be used to deliver sweet sorghum feedstock and supplemental boiler fuel biomass along with the biomass handling and processing itself will generate fugitive dust.  </w:t>
      </w:r>
    </w:p>
    <w:p w:rsidR="0011488A" w:rsidRDefault="0011488A" w:rsidP="0011488A">
      <w:pPr>
        <w:widowControl w:val="0"/>
        <w:spacing w:after="120"/>
        <w:rPr>
          <w:sz w:val="22"/>
          <w:szCs w:val="22"/>
        </w:rPr>
      </w:pPr>
      <w:r w:rsidRPr="0011488A">
        <w:rPr>
          <w:rFonts w:ascii="Times New Roman Bold" w:hAnsi="Times New Roman Bold"/>
          <w:b/>
          <w:sz w:val="22"/>
          <w:szCs w:val="22"/>
        </w:rPr>
        <w:fldChar w:fldCharType="begin"/>
      </w:r>
      <w:r w:rsidRPr="0011488A">
        <w:rPr>
          <w:rFonts w:ascii="Times New Roman Bold" w:hAnsi="Times New Roman Bold"/>
          <w:b/>
          <w:sz w:val="22"/>
          <w:szCs w:val="22"/>
        </w:rPr>
        <w:instrText xml:space="preserve"> REF _Ref479243868 \h  \* MERGEFORMAT </w:instrText>
      </w:r>
      <w:r w:rsidRPr="0011488A">
        <w:rPr>
          <w:rFonts w:ascii="Times New Roman Bold" w:hAnsi="Times New Roman Bold"/>
          <w:b/>
          <w:sz w:val="22"/>
          <w:szCs w:val="22"/>
        </w:rPr>
      </w:r>
      <w:r w:rsidRPr="0011488A">
        <w:rPr>
          <w:rFonts w:ascii="Times New Roman Bold" w:hAnsi="Times New Roman Bold"/>
          <w:b/>
          <w:sz w:val="22"/>
          <w:szCs w:val="22"/>
        </w:rPr>
        <w:fldChar w:fldCharType="separate"/>
      </w:r>
      <w:r w:rsidR="005A4C55" w:rsidRPr="005A4C55">
        <w:rPr>
          <w:rFonts w:ascii="Times New Roman Bold" w:hAnsi="Times New Roman Bold"/>
          <w:b/>
          <w:sz w:val="22"/>
          <w:szCs w:val="22"/>
        </w:rPr>
        <w:t xml:space="preserve">Figure </w:t>
      </w:r>
      <w:r w:rsidR="005A4C55" w:rsidRPr="005A4C55">
        <w:rPr>
          <w:rFonts w:ascii="Times New Roman Bold" w:hAnsi="Times New Roman Bold"/>
          <w:b/>
          <w:noProof/>
          <w:sz w:val="22"/>
          <w:szCs w:val="22"/>
        </w:rPr>
        <w:t>6</w:t>
      </w:r>
      <w:r w:rsidRPr="0011488A">
        <w:rPr>
          <w:rFonts w:ascii="Times New Roman Bold" w:hAnsi="Times New Roman Bold"/>
          <w:b/>
          <w:sz w:val="22"/>
          <w:szCs w:val="22"/>
        </w:rPr>
        <w:fldChar w:fldCharType="end"/>
      </w:r>
      <w:r w:rsidRPr="0011488A">
        <w:rPr>
          <w:sz w:val="22"/>
          <w:szCs w:val="22"/>
        </w:rPr>
        <w:t xml:space="preserve"> below is a diagram of the bagasse and supplemental boiler biomass feed system.  Because of the biomass high moisture content, fugitive emissions are expected to be minimal from this part of the process.</w:t>
      </w:r>
    </w:p>
    <w:p w:rsidR="0011488A" w:rsidRPr="0011488A" w:rsidRDefault="0011488A" w:rsidP="0011488A">
      <w:pPr>
        <w:widowControl w:val="0"/>
        <w:spacing w:after="120"/>
        <w:rPr>
          <w:sz w:val="22"/>
          <w:szCs w:val="22"/>
        </w:rPr>
      </w:pPr>
      <w:r w:rsidRPr="0011488A">
        <w:rPr>
          <w:sz w:val="22"/>
          <w:szCs w:val="22"/>
        </w:rPr>
        <w:t>The boiler biomass (bagasse and supplemental) will be stored in piles located in the biomass yard in the southwestern</w:t>
      </w:r>
      <w:r>
        <w:rPr>
          <w:sz w:val="22"/>
          <w:szCs w:val="22"/>
        </w:rPr>
        <w:t xml:space="preserve"> quadrant of the HEF site.</w:t>
      </w:r>
      <w:r w:rsidRPr="0011488A">
        <w:rPr>
          <w:sz w:val="22"/>
          <w:szCs w:val="22"/>
        </w:rPr>
        <w:t xml:space="preserve">  When required, the material will be reclaimed using a mobile front wheel loader, and placed onto the live reclaim area from which it will be conveyed to a scalping screen or shaker screen and then transported to the boiler feed bin and fed into the biomass boiler.</w:t>
      </w:r>
    </w:p>
    <w:p w:rsidR="0011488A" w:rsidRDefault="0011488A" w:rsidP="00963859">
      <w:pPr>
        <w:pStyle w:val="BodyText3"/>
        <w:widowControl w:val="0"/>
        <w:numPr>
          <w:ilvl w:val="12"/>
          <w:numId w:val="15"/>
        </w:numPr>
        <w:spacing w:before="0"/>
        <w:jc w:val="center"/>
      </w:pPr>
      <w:r>
        <w:rPr>
          <w:b/>
          <w:noProof/>
          <w:szCs w:val="22"/>
        </w:rPr>
        <w:drawing>
          <wp:inline distT="0" distB="0" distL="0" distR="0" wp14:anchorId="405BC6D2" wp14:editId="1BE74573">
            <wp:extent cx="5906363" cy="4269851"/>
            <wp:effectExtent l="38100" t="38100" r="37465" b="35560"/>
            <wp:docPr id="3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a:stretch>
                      <a:fillRect/>
                    </a:stretch>
                  </pic:blipFill>
                  <pic:spPr bwMode="auto">
                    <a:xfrm>
                      <a:off x="0" y="0"/>
                      <a:ext cx="5909037" cy="4271784"/>
                    </a:xfrm>
                    <a:prstGeom prst="rect">
                      <a:avLst/>
                    </a:prstGeom>
                    <a:ln w="38100" cap="sq" cmpd="thickThin">
                      <a:solidFill>
                        <a:srgbClr val="000000"/>
                      </a:solidFill>
                      <a:prstDash val="solid"/>
                      <a:miter lim="800000"/>
                    </a:ln>
                    <a:effectLst>
                      <a:innerShdw blurRad="76200">
                        <a:srgbClr val="000000"/>
                      </a:innerShdw>
                    </a:effectLst>
                  </pic:spPr>
                </pic:pic>
              </a:graphicData>
            </a:graphic>
          </wp:inline>
        </w:drawing>
      </w:r>
    </w:p>
    <w:p w:rsidR="00963859" w:rsidRDefault="0011488A" w:rsidP="00963859">
      <w:pPr>
        <w:pStyle w:val="Caption"/>
        <w:spacing w:before="120"/>
        <w:jc w:val="center"/>
        <w:rPr>
          <w:b w:val="0"/>
        </w:rPr>
      </w:pPr>
      <w:bookmarkStart w:id="13" w:name="_Ref479243868"/>
      <w:r w:rsidRPr="0011488A">
        <w:rPr>
          <w:rFonts w:ascii="Times New Roman Bold" w:hAnsi="Times New Roman Bold"/>
          <w:caps w:val="0"/>
        </w:rPr>
        <w:t xml:space="preserve">Figure </w:t>
      </w:r>
      <w:r w:rsidRPr="0011488A">
        <w:rPr>
          <w:rFonts w:ascii="Times New Roman Bold" w:hAnsi="Times New Roman Bold"/>
          <w:caps w:val="0"/>
        </w:rPr>
        <w:fldChar w:fldCharType="begin"/>
      </w:r>
      <w:r w:rsidRPr="0011488A">
        <w:rPr>
          <w:rFonts w:ascii="Times New Roman Bold" w:hAnsi="Times New Roman Bold"/>
          <w:caps w:val="0"/>
        </w:rPr>
        <w:instrText xml:space="preserve"> SEQ Figure \* ARABIC </w:instrText>
      </w:r>
      <w:r w:rsidRPr="0011488A">
        <w:rPr>
          <w:rFonts w:ascii="Times New Roman Bold" w:hAnsi="Times New Roman Bold"/>
          <w:caps w:val="0"/>
        </w:rPr>
        <w:fldChar w:fldCharType="separate"/>
      </w:r>
      <w:r w:rsidR="005A4C55">
        <w:rPr>
          <w:rFonts w:ascii="Times New Roman Bold" w:hAnsi="Times New Roman Bold"/>
          <w:caps w:val="0"/>
          <w:noProof/>
        </w:rPr>
        <w:t>6</w:t>
      </w:r>
      <w:r w:rsidRPr="0011488A">
        <w:rPr>
          <w:rFonts w:ascii="Times New Roman Bold" w:hAnsi="Times New Roman Bold"/>
          <w:caps w:val="0"/>
        </w:rPr>
        <w:fldChar w:fldCharType="end"/>
      </w:r>
      <w:bookmarkEnd w:id="13"/>
      <w:r w:rsidRPr="0011488A">
        <w:rPr>
          <w:rFonts w:ascii="Times New Roman Bold" w:hAnsi="Times New Roman Bold"/>
          <w:caps w:val="0"/>
        </w:rPr>
        <w:t>.  Boiler Biomass Feed System.</w:t>
      </w:r>
      <w:r w:rsidR="00963859">
        <w:rPr>
          <w:caps w:val="0"/>
        </w:rPr>
        <w:br w:type="page"/>
      </w:r>
    </w:p>
    <w:p w:rsidR="0011488A" w:rsidRPr="0011488A" w:rsidRDefault="0011488A" w:rsidP="0011488A">
      <w:pPr>
        <w:pStyle w:val="Caption"/>
        <w:spacing w:before="120"/>
        <w:jc w:val="center"/>
        <w:rPr>
          <w:rFonts w:ascii="Times New Roman Bold" w:hAnsi="Times New Roman Bold"/>
          <w:b w:val="0"/>
          <w:caps w:val="0"/>
          <w:szCs w:val="22"/>
        </w:rPr>
      </w:pPr>
    </w:p>
    <w:p w:rsidR="00963859" w:rsidRPr="0011488A" w:rsidRDefault="00963859" w:rsidP="00963859">
      <w:pPr>
        <w:pStyle w:val="ListParagraph"/>
        <w:widowControl w:val="0"/>
        <w:numPr>
          <w:ilvl w:val="1"/>
          <w:numId w:val="15"/>
        </w:numPr>
        <w:spacing w:before="120" w:after="120"/>
        <w:ind w:hanging="792"/>
        <w:contextualSpacing w:val="0"/>
        <w:rPr>
          <w:b/>
          <w:sz w:val="22"/>
          <w:szCs w:val="22"/>
        </w:rPr>
      </w:pPr>
      <w:r w:rsidRPr="0011488A">
        <w:rPr>
          <w:b/>
          <w:sz w:val="22"/>
          <w:szCs w:val="22"/>
        </w:rPr>
        <w:t>Applicant’s Proposal</w:t>
      </w:r>
    </w:p>
    <w:p w:rsidR="00963859" w:rsidRPr="0011488A" w:rsidRDefault="00963859" w:rsidP="00963859">
      <w:pPr>
        <w:widowControl w:val="0"/>
        <w:spacing w:after="120"/>
        <w:rPr>
          <w:sz w:val="22"/>
          <w:szCs w:val="22"/>
        </w:rPr>
      </w:pPr>
      <w:r w:rsidRPr="00A241D8">
        <w:rPr>
          <w:sz w:val="22"/>
          <w:szCs w:val="22"/>
        </w:rPr>
        <w:t>HEF proposes to utilize reasonable precautions and a best management practices (BMP) plan approved by the Department for controlling fugitive dust emissions from this emission unit. These precautions include the following:  enclosing conveyors (e.g.</w:t>
      </w:r>
      <w:r w:rsidRPr="00A241D8">
        <w:rPr>
          <w:iCs/>
          <w:sz w:val="22"/>
          <w:szCs w:val="22"/>
        </w:rPr>
        <w:t xml:space="preserve"> that the conveyance belt for the biomass is totally enclosed from above thus preventing wind from causing fugitive dust emissions with the bottom of conveyance belt accessible for maintenance and repairs</w:t>
      </w:r>
      <w:r w:rsidRPr="00A241D8">
        <w:rPr>
          <w:sz w:val="22"/>
          <w:szCs w:val="22"/>
        </w:rPr>
        <w:t>) and material drop points, shredders and screens wherever practical; contouring storage piles to minimize wind erosion; utilizing water sprays on storage piles as needed; paving all main plant access roads; sweeping and watering of paved surfaces as needed to remove dust; and utilizing water sprays on ash material from the boiler, as necessary.</w:t>
      </w:r>
    </w:p>
    <w:p w:rsidR="0011488A" w:rsidRDefault="0011488A" w:rsidP="0011488A">
      <w:pPr>
        <w:pStyle w:val="ListParagraph"/>
        <w:widowControl w:val="0"/>
        <w:numPr>
          <w:ilvl w:val="1"/>
          <w:numId w:val="15"/>
        </w:numPr>
        <w:spacing w:before="120" w:after="120"/>
        <w:ind w:left="720" w:hanging="720"/>
        <w:contextualSpacing w:val="0"/>
        <w:rPr>
          <w:b/>
          <w:sz w:val="22"/>
          <w:szCs w:val="22"/>
        </w:rPr>
      </w:pPr>
      <w:r>
        <w:rPr>
          <w:b/>
          <w:sz w:val="22"/>
          <w:szCs w:val="22"/>
        </w:rPr>
        <w:t>Department’s Review</w:t>
      </w:r>
    </w:p>
    <w:p w:rsidR="00614117" w:rsidRDefault="0011488A" w:rsidP="0011488A">
      <w:pPr>
        <w:widowControl w:val="0"/>
        <w:spacing w:before="120" w:after="120"/>
        <w:rPr>
          <w:color w:val="000000"/>
          <w:sz w:val="22"/>
          <w:szCs w:val="22"/>
        </w:rPr>
      </w:pPr>
      <w:r w:rsidRPr="00A241D8">
        <w:rPr>
          <w:color w:val="000000"/>
          <w:sz w:val="22"/>
          <w:szCs w:val="22"/>
        </w:rPr>
        <w:t xml:space="preserve">The Department accepts the procedures described by the applicant as BACT for sweet sorghum feedstock and supplemental biomass receiving and handling, with the addition of wetting the gravel areas, as necessary, during dry conditions.  In addition, where practical, dust collectors must be installed at drop and transfer points in the biomass handling systems and the paved areas must be vacuumed swept </w:t>
      </w:r>
      <w:r>
        <w:rPr>
          <w:color w:val="000000"/>
          <w:sz w:val="22"/>
          <w:szCs w:val="22"/>
        </w:rPr>
        <w:t>as needed to prevent fugitive dust emissions.</w:t>
      </w:r>
    </w:p>
    <w:p w:rsidR="00190881" w:rsidRDefault="00190881" w:rsidP="00A843D2">
      <w:pPr>
        <w:pStyle w:val="ListParagraph"/>
        <w:widowControl w:val="0"/>
        <w:numPr>
          <w:ilvl w:val="0"/>
          <w:numId w:val="15"/>
        </w:numPr>
        <w:spacing w:after="120"/>
        <w:ind w:left="720" w:hanging="720"/>
        <w:contextualSpacing w:val="0"/>
        <w:rPr>
          <w:b/>
          <w:caps/>
          <w:sz w:val="22"/>
          <w:szCs w:val="22"/>
        </w:rPr>
      </w:pPr>
      <w:r>
        <w:rPr>
          <w:b/>
          <w:caps/>
          <w:sz w:val="22"/>
          <w:szCs w:val="22"/>
        </w:rPr>
        <w:t xml:space="preserve">BACT Review for </w:t>
      </w:r>
      <w:r w:rsidR="005F4DF4">
        <w:rPr>
          <w:b/>
          <w:caps/>
          <w:sz w:val="22"/>
          <w:szCs w:val="22"/>
        </w:rPr>
        <w:t>Biomass-Fueled Boiler (EU 002)</w:t>
      </w:r>
    </w:p>
    <w:p w:rsidR="00190881" w:rsidRDefault="00F81E83" w:rsidP="00F81E83">
      <w:pPr>
        <w:pStyle w:val="ListParagraph"/>
        <w:widowControl w:val="0"/>
        <w:numPr>
          <w:ilvl w:val="1"/>
          <w:numId w:val="15"/>
        </w:numPr>
        <w:spacing w:before="120" w:after="120"/>
        <w:ind w:left="720" w:hanging="720"/>
        <w:contextualSpacing w:val="0"/>
        <w:rPr>
          <w:b/>
          <w:sz w:val="22"/>
          <w:szCs w:val="22"/>
        </w:rPr>
      </w:pPr>
      <w:r>
        <w:rPr>
          <w:b/>
          <w:sz w:val="22"/>
          <w:szCs w:val="22"/>
        </w:rPr>
        <w:t>NO</w:t>
      </w:r>
      <w:r w:rsidRPr="00F81E83">
        <w:rPr>
          <w:b/>
          <w:sz w:val="22"/>
          <w:szCs w:val="22"/>
          <w:vertAlign w:val="subscript"/>
        </w:rPr>
        <w:t>X</w:t>
      </w:r>
      <w:r w:rsidR="00190881">
        <w:rPr>
          <w:b/>
          <w:sz w:val="22"/>
          <w:szCs w:val="22"/>
        </w:rPr>
        <w:t xml:space="preserve"> Emissions</w:t>
      </w:r>
    </w:p>
    <w:p w:rsidR="00190881" w:rsidRPr="00155062" w:rsidRDefault="00190881" w:rsidP="00F81E83">
      <w:pPr>
        <w:pStyle w:val="ListParagraph"/>
        <w:widowControl w:val="0"/>
        <w:numPr>
          <w:ilvl w:val="2"/>
          <w:numId w:val="15"/>
        </w:numPr>
        <w:spacing w:after="120"/>
        <w:ind w:left="720" w:hanging="720"/>
        <w:jc w:val="both"/>
        <w:rPr>
          <w:sz w:val="22"/>
          <w:szCs w:val="22"/>
          <w:u w:val="single"/>
        </w:rPr>
      </w:pPr>
      <w:r w:rsidRPr="00155062">
        <w:rPr>
          <w:sz w:val="22"/>
          <w:szCs w:val="22"/>
          <w:u w:val="single"/>
        </w:rPr>
        <w:t>Discussion</w:t>
      </w:r>
    </w:p>
    <w:p w:rsidR="00F81E83" w:rsidRPr="00F81E83" w:rsidRDefault="00F81E83" w:rsidP="00F81E83">
      <w:pPr>
        <w:tabs>
          <w:tab w:val="left" w:pos="450"/>
        </w:tabs>
        <w:spacing w:before="120" w:after="120"/>
        <w:outlineLvl w:val="0"/>
        <w:rPr>
          <w:sz w:val="22"/>
          <w:szCs w:val="22"/>
        </w:rPr>
      </w:pPr>
      <w:r w:rsidRPr="00F81E83">
        <w:rPr>
          <w:sz w:val="22"/>
          <w:szCs w:val="22"/>
        </w:rPr>
        <w:t>NO</w:t>
      </w:r>
      <w:r w:rsidRPr="00F81E83">
        <w:rPr>
          <w:sz w:val="22"/>
          <w:szCs w:val="22"/>
          <w:vertAlign w:val="subscript"/>
        </w:rPr>
        <w:t>X</w:t>
      </w:r>
      <w:r w:rsidRPr="00F81E83">
        <w:rPr>
          <w:sz w:val="22"/>
          <w:szCs w:val="22"/>
        </w:rPr>
        <w:t xml:space="preserve"> formation in the boiler may occur by three different mechanisms:  fuel NO</w:t>
      </w:r>
      <w:r w:rsidRPr="00F81E83">
        <w:rPr>
          <w:sz w:val="22"/>
          <w:szCs w:val="22"/>
          <w:vertAlign w:val="subscript"/>
        </w:rPr>
        <w:t>X</w:t>
      </w:r>
      <w:r w:rsidRPr="00F81E83">
        <w:rPr>
          <w:sz w:val="22"/>
          <w:szCs w:val="22"/>
        </w:rPr>
        <w:t xml:space="preserve"> is formed from nitrogen compounds contained in fuel (fuel nitrogen); thermal NO</w:t>
      </w:r>
      <w:r w:rsidRPr="00F81E83">
        <w:rPr>
          <w:sz w:val="22"/>
          <w:szCs w:val="22"/>
          <w:vertAlign w:val="subscript"/>
        </w:rPr>
        <w:t>X</w:t>
      </w:r>
      <w:r w:rsidRPr="00F81E83">
        <w:rPr>
          <w:sz w:val="22"/>
          <w:szCs w:val="22"/>
        </w:rPr>
        <w:t xml:space="preserve"> is formed from molecular or atomic nitrogen (N</w:t>
      </w:r>
      <w:r w:rsidRPr="00F81E83">
        <w:rPr>
          <w:sz w:val="22"/>
          <w:szCs w:val="22"/>
          <w:vertAlign w:val="subscript"/>
        </w:rPr>
        <w:t>2</w:t>
      </w:r>
      <w:r w:rsidRPr="00F81E83">
        <w:rPr>
          <w:sz w:val="22"/>
          <w:szCs w:val="22"/>
        </w:rPr>
        <w:t>) and oxygen (O</w:t>
      </w:r>
      <w:r w:rsidRPr="00F81E83">
        <w:rPr>
          <w:sz w:val="22"/>
          <w:szCs w:val="22"/>
          <w:vertAlign w:val="subscript"/>
        </w:rPr>
        <w:t>2</w:t>
      </w:r>
      <w:r w:rsidRPr="00F81E83">
        <w:rPr>
          <w:sz w:val="22"/>
          <w:szCs w:val="22"/>
        </w:rPr>
        <w:t>) present in combustion air; and prompt NO</w:t>
      </w:r>
      <w:r w:rsidRPr="00F81E83">
        <w:rPr>
          <w:sz w:val="22"/>
          <w:szCs w:val="22"/>
          <w:vertAlign w:val="subscript"/>
        </w:rPr>
        <w:t>X</w:t>
      </w:r>
      <w:r w:rsidRPr="00F81E83">
        <w:rPr>
          <w:sz w:val="22"/>
          <w:szCs w:val="22"/>
        </w:rPr>
        <w:t xml:space="preserve"> is formed in the proximity of the flame front as intermediate combustion products.  </w:t>
      </w:r>
    </w:p>
    <w:p w:rsidR="00F81E83" w:rsidRPr="00F81E83" w:rsidRDefault="00F81E83" w:rsidP="00F81E83">
      <w:pPr>
        <w:tabs>
          <w:tab w:val="left" w:pos="450"/>
        </w:tabs>
        <w:spacing w:before="120" w:after="120"/>
        <w:outlineLvl w:val="0"/>
        <w:rPr>
          <w:sz w:val="22"/>
          <w:szCs w:val="22"/>
        </w:rPr>
      </w:pPr>
      <w:r w:rsidRPr="00F81E83">
        <w:rPr>
          <w:sz w:val="22"/>
          <w:szCs w:val="22"/>
          <w:u w:val="single"/>
        </w:rPr>
        <w:t>Bubbling Fluidized bed (BFB) Boiler Principles.</w:t>
      </w:r>
      <w:r w:rsidRPr="00F81E83">
        <w:rPr>
          <w:sz w:val="22"/>
          <w:szCs w:val="22"/>
        </w:rPr>
        <w:t xml:space="preserve">  The applicant proposes to install a grate stoker boiler and not a BFB boiler.  However, it is useful to discuss the alternative design of a BFB boiler due to its inherently lower emission characteristics.  </w:t>
      </w:r>
    </w:p>
    <w:p w:rsidR="00F81E83" w:rsidRPr="00183CFC" w:rsidRDefault="00F81E83" w:rsidP="00F81E83">
      <w:pPr>
        <w:tabs>
          <w:tab w:val="left" w:pos="450"/>
        </w:tabs>
        <w:spacing w:after="120"/>
        <w:outlineLvl w:val="0"/>
        <w:rPr>
          <w:rFonts w:ascii="TimesNewRoman" w:hAnsi="TimesNewRoman" w:cs="TimesNewRoman"/>
          <w:sz w:val="22"/>
          <w:szCs w:val="22"/>
        </w:rPr>
      </w:pPr>
      <w:r w:rsidRPr="00183CFC">
        <w:rPr>
          <w:sz w:val="22"/>
          <w:szCs w:val="22"/>
        </w:rPr>
        <w:t>BFB boiler beds are typically maintained at temperatures on the order of 1,350 to 1,700 degrees Fahrenheit (</w:t>
      </w:r>
      <w:r w:rsidRPr="00183CFC">
        <w:rPr>
          <w:szCs w:val="22"/>
        </w:rPr>
        <w:t>°</w:t>
      </w:r>
      <w:r w:rsidRPr="00183CFC">
        <w:rPr>
          <w:sz w:val="22"/>
          <w:szCs w:val="22"/>
        </w:rPr>
        <w:t>F).  This minimizes thermal NO</w:t>
      </w:r>
      <w:r w:rsidRPr="00183CFC">
        <w:rPr>
          <w:sz w:val="22"/>
          <w:szCs w:val="22"/>
          <w:vertAlign w:val="subscript"/>
        </w:rPr>
        <w:t>X</w:t>
      </w:r>
      <w:r w:rsidRPr="00183CFC">
        <w:rPr>
          <w:sz w:val="22"/>
          <w:szCs w:val="22"/>
        </w:rPr>
        <w:t xml:space="preserve"> formation but not fuel NO</w:t>
      </w:r>
      <w:r w:rsidRPr="00183CFC">
        <w:rPr>
          <w:sz w:val="22"/>
          <w:szCs w:val="22"/>
          <w:vertAlign w:val="subscript"/>
        </w:rPr>
        <w:t>X</w:t>
      </w:r>
      <w:r w:rsidRPr="00183CFC">
        <w:rPr>
          <w:sz w:val="22"/>
          <w:szCs w:val="22"/>
        </w:rPr>
        <w:t xml:space="preserve"> formation.  </w:t>
      </w:r>
      <w:r w:rsidRPr="00183CFC">
        <w:rPr>
          <w:rFonts w:ascii="TimesNewRoman" w:hAnsi="TimesNewRoman" w:cs="TimesNewRoman"/>
          <w:sz w:val="22"/>
          <w:szCs w:val="22"/>
        </w:rPr>
        <w:t xml:space="preserve">The furnace temperature is higher above the fluidized bed where the OFA is introduced </w:t>
      </w:r>
      <w:r w:rsidRPr="00183CFC">
        <w:rPr>
          <w:rFonts w:ascii="TimesNewRoman" w:hAnsi="TimesNewRoman" w:cs="TimesNewRoman"/>
          <w:sz w:val="22"/>
          <w:szCs w:val="22"/>
          <w:u w:val="single"/>
        </w:rPr>
        <w:t>but not high enough to form thermal NO</w:t>
      </w:r>
      <w:r w:rsidRPr="00183CFC">
        <w:rPr>
          <w:rFonts w:ascii="TimesNewRoman" w:hAnsi="TimesNewRoman" w:cs="TimesNewRoman"/>
          <w:sz w:val="22"/>
          <w:szCs w:val="22"/>
          <w:u w:val="single"/>
          <w:vertAlign w:val="subscript"/>
        </w:rPr>
        <w:t>X</w:t>
      </w:r>
      <w:r w:rsidRPr="00183CFC">
        <w:rPr>
          <w:rFonts w:ascii="TimesNewRoman" w:hAnsi="TimesNewRoman" w:cs="TimesNewRoman"/>
          <w:sz w:val="22"/>
          <w:szCs w:val="22"/>
        </w:rPr>
        <w:t xml:space="preserve">.  </w:t>
      </w:r>
    </w:p>
    <w:p w:rsidR="00F81E83" w:rsidRPr="00183CFC" w:rsidRDefault="00F81E83" w:rsidP="00F81E83">
      <w:pPr>
        <w:tabs>
          <w:tab w:val="left" w:pos="450"/>
        </w:tabs>
        <w:spacing w:after="120"/>
        <w:outlineLvl w:val="0"/>
        <w:rPr>
          <w:sz w:val="22"/>
          <w:szCs w:val="22"/>
        </w:rPr>
      </w:pPr>
      <w:r w:rsidRPr="00183CFC">
        <w:rPr>
          <w:sz w:val="22"/>
          <w:szCs w:val="22"/>
        </w:rPr>
        <w:t>Combustion within the BFB bed occurs under reducing (O</w:t>
      </w:r>
      <w:r w:rsidRPr="00183CFC">
        <w:rPr>
          <w:sz w:val="22"/>
          <w:szCs w:val="22"/>
          <w:vertAlign w:val="subscript"/>
        </w:rPr>
        <w:t>2</w:t>
      </w:r>
      <w:r w:rsidRPr="00183CFC">
        <w:rPr>
          <w:sz w:val="22"/>
          <w:szCs w:val="22"/>
        </w:rPr>
        <w:t xml:space="preserve"> starved) conditions provided by the primary air.  The fuel in the bed undergoes drying, and partial combustion.  Following is the Department’s theoretical and simplified explanation of the manner by which combustion proceeds, focusing on the formation and destruction of NO</w:t>
      </w:r>
      <w:r w:rsidRPr="00183CFC">
        <w:rPr>
          <w:sz w:val="22"/>
          <w:szCs w:val="22"/>
          <w:vertAlign w:val="subscript"/>
        </w:rPr>
        <w:t>X</w:t>
      </w:r>
      <w:r w:rsidRPr="00183CFC">
        <w:rPr>
          <w:sz w:val="22"/>
          <w:szCs w:val="22"/>
        </w:rPr>
        <w:t>.  The process involves literally hundreds of steps or reactions expressed as the simplified and unbalanced equations (Eq.) below.</w:t>
      </w:r>
    </w:p>
    <w:p w:rsidR="00F81E83" w:rsidRPr="00183CFC" w:rsidRDefault="00F81E83" w:rsidP="00F81E83">
      <w:pPr>
        <w:pStyle w:val="BodyText"/>
        <w:rPr>
          <w:sz w:val="22"/>
          <w:szCs w:val="22"/>
        </w:rPr>
      </w:pPr>
      <w:r w:rsidRPr="00183CFC">
        <w:rPr>
          <w:b/>
          <w:bCs/>
          <w:sz w:val="22"/>
          <w:szCs w:val="22"/>
        </w:rPr>
        <w:t>Equation 1.</w:t>
      </w:r>
      <w:r w:rsidRPr="00183CFC">
        <w:rPr>
          <w:sz w:val="22"/>
          <w:szCs w:val="22"/>
        </w:rPr>
        <w:t xml:space="preserve">  The fuel immediately above and within the bed is heated and pyrolyzed releasing hydrocarbon radicals (</w:t>
      </w:r>
      <w:proofErr w:type="spellStart"/>
      <w:r w:rsidRPr="00183CFC">
        <w:rPr>
          <w:sz w:val="22"/>
          <w:szCs w:val="22"/>
        </w:rPr>
        <w:t>CHi</w:t>
      </w:r>
      <w:proofErr w:type="spellEnd"/>
      <w:r w:rsidRPr="00183CFC">
        <w:rPr>
          <w:sz w:val="22"/>
          <w:szCs w:val="22"/>
        </w:rPr>
        <w:t>*).  These, in turn, catalytically or otherwise react with NO to form hydrogen cyanide (HCN) according to:</w:t>
      </w:r>
    </w:p>
    <w:p w:rsidR="00F81E83" w:rsidRPr="00183CFC" w:rsidRDefault="00F81E83" w:rsidP="00F81E83">
      <w:pPr>
        <w:pStyle w:val="BodyText"/>
        <w:tabs>
          <w:tab w:val="right" w:pos="9000"/>
        </w:tabs>
        <w:rPr>
          <w:sz w:val="22"/>
          <w:szCs w:val="22"/>
        </w:rPr>
      </w:pPr>
      <w:r w:rsidRPr="00183CFC">
        <w:rPr>
          <w:position w:val="-6"/>
          <w:sz w:val="22"/>
          <w:szCs w:val="22"/>
        </w:rPr>
        <w:object w:dxaOrig="254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45pt;height:13.5pt" o:ole="">
            <v:imagedata r:id="rId16" o:title=""/>
          </v:shape>
          <o:OLEObject Type="Embed" ProgID="Equation.3" ShapeID="_x0000_i1025" DrawAspect="Content" ObjectID="_1561370957" r:id="rId17"/>
        </w:object>
      </w:r>
      <w:r w:rsidRPr="00183CFC">
        <w:rPr>
          <w:sz w:val="22"/>
          <w:szCs w:val="22"/>
        </w:rPr>
        <w:tab/>
        <w:t>Eq. 1</w:t>
      </w:r>
    </w:p>
    <w:p w:rsidR="00F81E83" w:rsidRPr="00183CFC" w:rsidRDefault="00F81E83" w:rsidP="00F81E83">
      <w:pPr>
        <w:pStyle w:val="BodyText"/>
        <w:rPr>
          <w:sz w:val="22"/>
          <w:szCs w:val="22"/>
        </w:rPr>
      </w:pPr>
      <w:r w:rsidRPr="00183CFC">
        <w:rPr>
          <w:sz w:val="22"/>
          <w:szCs w:val="22"/>
        </w:rPr>
        <w:t xml:space="preserve">Where: </w:t>
      </w:r>
    </w:p>
    <w:p w:rsidR="00F81E83" w:rsidRPr="00183CFC" w:rsidRDefault="00F81E83" w:rsidP="00F81E83">
      <w:pPr>
        <w:pStyle w:val="BodyText"/>
        <w:rPr>
          <w:i/>
          <w:iCs/>
          <w:sz w:val="22"/>
          <w:szCs w:val="22"/>
        </w:rPr>
      </w:pPr>
      <w:proofErr w:type="spellStart"/>
      <w:r w:rsidRPr="00183CFC">
        <w:rPr>
          <w:i/>
          <w:iCs/>
          <w:sz w:val="22"/>
          <w:szCs w:val="22"/>
        </w:rPr>
        <w:t>i</w:t>
      </w:r>
      <w:proofErr w:type="spellEnd"/>
      <w:r w:rsidRPr="00183CFC">
        <w:rPr>
          <w:i/>
          <w:iCs/>
          <w:sz w:val="22"/>
          <w:szCs w:val="22"/>
        </w:rPr>
        <w:t xml:space="preserve"> = 1, 2, 3</w:t>
      </w:r>
    </w:p>
    <w:p w:rsidR="00F81E83" w:rsidRPr="00183CFC" w:rsidRDefault="00F81E83" w:rsidP="00F81E83">
      <w:pPr>
        <w:pStyle w:val="BodyText"/>
        <w:rPr>
          <w:bCs/>
          <w:sz w:val="22"/>
          <w:szCs w:val="22"/>
        </w:rPr>
      </w:pPr>
      <w:r w:rsidRPr="00183CFC">
        <w:rPr>
          <w:b/>
          <w:bCs/>
          <w:sz w:val="22"/>
          <w:szCs w:val="22"/>
        </w:rPr>
        <w:t>Equation 2.</w:t>
      </w:r>
      <w:r w:rsidRPr="00183CFC">
        <w:rPr>
          <w:bCs/>
          <w:sz w:val="22"/>
          <w:szCs w:val="22"/>
        </w:rPr>
        <w:t xml:space="preserve">  HCN in turn destroys more NO</w:t>
      </w:r>
      <w:r w:rsidRPr="00183CFC">
        <w:rPr>
          <w:bCs/>
          <w:sz w:val="22"/>
          <w:szCs w:val="22"/>
          <w:vertAlign w:val="subscript"/>
        </w:rPr>
        <w:t>X</w:t>
      </w:r>
      <w:r w:rsidRPr="00183CFC">
        <w:rPr>
          <w:bCs/>
          <w:sz w:val="22"/>
          <w:szCs w:val="22"/>
        </w:rPr>
        <w:t xml:space="preserve"> in the reducing environment according to: </w:t>
      </w:r>
    </w:p>
    <w:p w:rsidR="00F81E83" w:rsidRPr="00183CFC" w:rsidRDefault="00F81E83" w:rsidP="00F81E83">
      <w:pPr>
        <w:pStyle w:val="BodyText"/>
        <w:tabs>
          <w:tab w:val="right" w:pos="9000"/>
        </w:tabs>
        <w:rPr>
          <w:sz w:val="22"/>
          <w:szCs w:val="22"/>
        </w:rPr>
      </w:pPr>
      <w:r w:rsidRPr="00183CFC">
        <w:rPr>
          <w:position w:val="-10"/>
          <w:sz w:val="22"/>
          <w:szCs w:val="22"/>
        </w:rPr>
        <w:object w:dxaOrig="4140" w:dyaOrig="340">
          <v:shape id="_x0000_i1026" type="#_x0000_t75" style="width:205.55pt;height:19.5pt" o:ole="">
            <v:imagedata r:id="rId18" o:title=""/>
          </v:shape>
          <o:OLEObject Type="Embed" ProgID="Equation.3" ShapeID="_x0000_i1026" DrawAspect="Content" ObjectID="_1561370958" r:id="rId19"/>
        </w:object>
      </w:r>
      <w:r w:rsidRPr="00183CFC">
        <w:rPr>
          <w:sz w:val="22"/>
          <w:szCs w:val="22"/>
        </w:rPr>
        <w:tab/>
        <w:t>Eq. 2</w:t>
      </w:r>
    </w:p>
    <w:p w:rsidR="00F81E83" w:rsidRPr="00183CFC" w:rsidRDefault="00F81E83" w:rsidP="00F81E83">
      <w:pPr>
        <w:pStyle w:val="BodyText"/>
        <w:rPr>
          <w:sz w:val="22"/>
          <w:szCs w:val="22"/>
        </w:rPr>
      </w:pPr>
      <w:r w:rsidRPr="00183CFC">
        <w:rPr>
          <w:b/>
          <w:bCs/>
          <w:sz w:val="22"/>
          <w:szCs w:val="22"/>
        </w:rPr>
        <w:lastRenderedPageBreak/>
        <w:t>Equation 3.</w:t>
      </w:r>
      <w:r w:rsidRPr="00183CFC">
        <w:rPr>
          <w:sz w:val="22"/>
          <w:szCs w:val="22"/>
        </w:rPr>
        <w:t xml:space="preserve">  Ammonia-like radicals (</w:t>
      </w:r>
      <w:proofErr w:type="spellStart"/>
      <w:r w:rsidRPr="00183CFC">
        <w:rPr>
          <w:sz w:val="22"/>
          <w:szCs w:val="22"/>
        </w:rPr>
        <w:t>NHi</w:t>
      </w:r>
      <w:proofErr w:type="spellEnd"/>
      <w:r w:rsidRPr="00183CFC">
        <w:rPr>
          <w:sz w:val="22"/>
          <w:szCs w:val="22"/>
        </w:rPr>
        <w:t>*) are also released during pyrolysis.  Under reducing conditions these radicals destroy NO according to:</w:t>
      </w:r>
    </w:p>
    <w:p w:rsidR="00F81E83" w:rsidRPr="00183CFC" w:rsidRDefault="00F81E83" w:rsidP="00F81E83">
      <w:pPr>
        <w:pStyle w:val="BodyText"/>
        <w:tabs>
          <w:tab w:val="right" w:pos="9000"/>
        </w:tabs>
        <w:rPr>
          <w:sz w:val="22"/>
          <w:szCs w:val="22"/>
        </w:rPr>
      </w:pPr>
      <w:r w:rsidRPr="00183CFC">
        <w:rPr>
          <w:position w:val="-10"/>
          <w:sz w:val="22"/>
          <w:szCs w:val="22"/>
        </w:rPr>
        <w:object w:dxaOrig="2320" w:dyaOrig="340">
          <v:shape id="_x0000_i1027" type="#_x0000_t75" style="width:116.25pt;height:19.5pt" o:ole="">
            <v:imagedata r:id="rId20" o:title=""/>
          </v:shape>
          <o:OLEObject Type="Embed" ProgID="Equation.3" ShapeID="_x0000_i1027" DrawAspect="Content" ObjectID="_1561370959" r:id="rId21"/>
        </w:object>
      </w:r>
      <w:r w:rsidRPr="00183CFC">
        <w:rPr>
          <w:sz w:val="22"/>
          <w:szCs w:val="22"/>
        </w:rPr>
        <w:tab/>
        <w:t>Eq. 3</w:t>
      </w:r>
    </w:p>
    <w:p w:rsidR="00F81E83" w:rsidRPr="00183CFC" w:rsidRDefault="00F81E83" w:rsidP="00F81E83">
      <w:pPr>
        <w:pStyle w:val="BodyText"/>
        <w:rPr>
          <w:sz w:val="22"/>
          <w:szCs w:val="22"/>
        </w:rPr>
      </w:pPr>
      <w:r w:rsidRPr="00183CFC">
        <w:rPr>
          <w:sz w:val="22"/>
          <w:szCs w:val="22"/>
        </w:rPr>
        <w:t>This mechanism suppresses formation of NO by the pyrolyzed fuel nitrogen and recruits that nitrogen to combat NO</w:t>
      </w:r>
      <w:r w:rsidRPr="00183CFC">
        <w:rPr>
          <w:sz w:val="22"/>
          <w:szCs w:val="22"/>
          <w:vertAlign w:val="subscript"/>
        </w:rPr>
        <w:t>X</w:t>
      </w:r>
      <w:r w:rsidRPr="00183CFC">
        <w:rPr>
          <w:sz w:val="22"/>
          <w:szCs w:val="22"/>
        </w:rPr>
        <w:t xml:space="preserve"> in reactions that at first glance look much like SCR or selective non-catalytic reduction (SNCR) discussed further below.</w:t>
      </w:r>
    </w:p>
    <w:p w:rsidR="00F81E83" w:rsidRPr="00183CFC" w:rsidRDefault="00F81E83" w:rsidP="00F81E83">
      <w:pPr>
        <w:pStyle w:val="BodyText"/>
        <w:rPr>
          <w:sz w:val="22"/>
          <w:szCs w:val="22"/>
        </w:rPr>
      </w:pPr>
      <w:r w:rsidRPr="00183CFC">
        <w:rPr>
          <w:sz w:val="22"/>
          <w:szCs w:val="22"/>
        </w:rPr>
        <w:t>Reactions 2 and 3 can be catalytically enhanced based on the presence of various species within such an environment.  Also, they can be accelerated by attaining a relatively high temperature within the reducing atmosphere but well below that which would promote thermal NO</w:t>
      </w:r>
      <w:r w:rsidRPr="00183CFC">
        <w:rPr>
          <w:sz w:val="22"/>
          <w:szCs w:val="22"/>
          <w:vertAlign w:val="subscript"/>
        </w:rPr>
        <w:t>X</w:t>
      </w:r>
      <w:r w:rsidRPr="00183CFC">
        <w:rPr>
          <w:sz w:val="22"/>
          <w:szCs w:val="22"/>
        </w:rPr>
        <w:t xml:space="preserve"> formation.  Other reactions involving CO or hydrogen (H</w:t>
      </w:r>
      <w:r w:rsidRPr="00183CFC">
        <w:rPr>
          <w:sz w:val="22"/>
          <w:szCs w:val="22"/>
          <w:vertAlign w:val="subscript"/>
        </w:rPr>
        <w:t>2</w:t>
      </w:r>
      <w:r w:rsidRPr="00183CFC">
        <w:rPr>
          <w:sz w:val="22"/>
          <w:szCs w:val="22"/>
        </w:rPr>
        <w:t>) also destroy NO</w:t>
      </w:r>
      <w:r w:rsidRPr="00183CFC">
        <w:rPr>
          <w:sz w:val="22"/>
          <w:szCs w:val="22"/>
          <w:vertAlign w:val="subscript"/>
        </w:rPr>
        <w:t>X</w:t>
      </w:r>
      <w:r w:rsidRPr="00183CFC">
        <w:rPr>
          <w:sz w:val="22"/>
          <w:szCs w:val="22"/>
        </w:rPr>
        <w:t xml:space="preserve"> in this reducing atmosphere and can be to varying degrees catalytically enhanced.  Additional volatile and char combustion occurs in the higher temperature free board region above the bed.  </w:t>
      </w:r>
      <w:proofErr w:type="spellStart"/>
      <w:r w:rsidRPr="00183CFC">
        <w:rPr>
          <w:sz w:val="22"/>
          <w:szCs w:val="22"/>
        </w:rPr>
        <w:t>CharC</w:t>
      </w:r>
      <w:proofErr w:type="spellEnd"/>
      <w:r w:rsidRPr="00183CFC">
        <w:rPr>
          <w:sz w:val="22"/>
          <w:szCs w:val="22"/>
        </w:rPr>
        <w:t xml:space="preserve"> denotes char carbon and </w:t>
      </w:r>
      <w:proofErr w:type="spellStart"/>
      <w:r w:rsidRPr="00183CFC">
        <w:rPr>
          <w:sz w:val="22"/>
          <w:szCs w:val="22"/>
        </w:rPr>
        <w:t>CharN</w:t>
      </w:r>
      <w:proofErr w:type="spellEnd"/>
      <w:r w:rsidRPr="00183CFC">
        <w:rPr>
          <w:sz w:val="22"/>
          <w:szCs w:val="22"/>
        </w:rPr>
        <w:t xml:space="preserve"> denotes char nitrogen.</w:t>
      </w:r>
    </w:p>
    <w:p w:rsidR="00F81E83" w:rsidRPr="00183CFC" w:rsidRDefault="00F81E83" w:rsidP="00F81E83">
      <w:pPr>
        <w:pStyle w:val="BodyText"/>
        <w:rPr>
          <w:sz w:val="22"/>
          <w:szCs w:val="22"/>
        </w:rPr>
      </w:pPr>
      <w:r w:rsidRPr="00183CFC">
        <w:rPr>
          <w:b/>
          <w:sz w:val="22"/>
          <w:szCs w:val="22"/>
        </w:rPr>
        <w:t>Equation 4 and 5.</w:t>
      </w:r>
      <w:r w:rsidRPr="00183CFC">
        <w:rPr>
          <w:sz w:val="22"/>
          <w:szCs w:val="22"/>
        </w:rPr>
        <w:t xml:space="preserve">  Under the reducing conditions, even the char can assist on NO</w:t>
      </w:r>
      <w:r w:rsidRPr="00183CFC">
        <w:rPr>
          <w:sz w:val="22"/>
          <w:szCs w:val="22"/>
          <w:vertAlign w:val="subscript"/>
        </w:rPr>
        <w:t>X</w:t>
      </w:r>
      <w:r w:rsidRPr="00183CFC">
        <w:rPr>
          <w:sz w:val="22"/>
          <w:szCs w:val="22"/>
        </w:rPr>
        <w:t xml:space="preserve"> destruction as follows:</w:t>
      </w:r>
    </w:p>
    <w:p w:rsidR="00F81E83" w:rsidRPr="00183CFC" w:rsidRDefault="00F81E83" w:rsidP="00F81E83">
      <w:pPr>
        <w:pStyle w:val="BodyText"/>
        <w:tabs>
          <w:tab w:val="right" w:pos="9000"/>
        </w:tabs>
        <w:rPr>
          <w:sz w:val="22"/>
          <w:szCs w:val="22"/>
        </w:rPr>
      </w:pPr>
      <w:r w:rsidRPr="00183CFC">
        <w:rPr>
          <w:position w:val="-10"/>
          <w:sz w:val="22"/>
          <w:szCs w:val="22"/>
        </w:rPr>
        <w:object w:dxaOrig="3700" w:dyaOrig="340">
          <v:shape id="_x0000_i1028" type="#_x0000_t75" style="width:185.2pt;height:19.5pt" o:ole="">
            <v:imagedata r:id="rId22" o:title=""/>
          </v:shape>
          <o:OLEObject Type="Embed" ProgID="Equation.3" ShapeID="_x0000_i1028" DrawAspect="Content" ObjectID="_1561370960" r:id="rId23"/>
        </w:object>
      </w:r>
      <w:r w:rsidRPr="00183CFC">
        <w:rPr>
          <w:sz w:val="22"/>
          <w:szCs w:val="22"/>
        </w:rPr>
        <w:tab/>
        <w:t>Eq. 4</w:t>
      </w:r>
    </w:p>
    <w:p w:rsidR="00F81E83" w:rsidRPr="00183CFC" w:rsidRDefault="00F81E83" w:rsidP="00F81E83">
      <w:pPr>
        <w:pStyle w:val="BodyText"/>
        <w:tabs>
          <w:tab w:val="right" w:pos="9000"/>
        </w:tabs>
        <w:rPr>
          <w:sz w:val="22"/>
          <w:szCs w:val="22"/>
        </w:rPr>
      </w:pPr>
      <w:r w:rsidRPr="00183CFC">
        <w:rPr>
          <w:position w:val="-10"/>
          <w:sz w:val="22"/>
          <w:szCs w:val="22"/>
        </w:rPr>
        <w:object w:dxaOrig="2860" w:dyaOrig="340">
          <v:shape id="_x0000_i1029" type="#_x0000_t75" style="width:143.3pt;height:19.5pt" o:ole="">
            <v:imagedata r:id="rId24" o:title=""/>
          </v:shape>
          <o:OLEObject Type="Embed" ProgID="Equation.3" ShapeID="_x0000_i1029" DrawAspect="Content" ObjectID="_1561370961" r:id="rId25"/>
        </w:object>
      </w:r>
      <w:r w:rsidRPr="00183CFC">
        <w:rPr>
          <w:sz w:val="22"/>
          <w:szCs w:val="22"/>
        </w:rPr>
        <w:tab/>
        <w:t>Eq. 5</w:t>
      </w:r>
    </w:p>
    <w:p w:rsidR="00F81E83" w:rsidRPr="00183CFC" w:rsidRDefault="00F81E83" w:rsidP="00F81E83">
      <w:pPr>
        <w:pStyle w:val="BodyText"/>
        <w:rPr>
          <w:sz w:val="22"/>
          <w:szCs w:val="22"/>
        </w:rPr>
      </w:pPr>
      <w:r w:rsidRPr="00183CFC">
        <w:rPr>
          <w:sz w:val="22"/>
          <w:szCs w:val="22"/>
        </w:rPr>
        <w:t>Eventually the NO</w:t>
      </w:r>
      <w:r w:rsidRPr="00183CFC">
        <w:rPr>
          <w:sz w:val="22"/>
          <w:szCs w:val="22"/>
          <w:vertAlign w:val="subscript"/>
        </w:rPr>
        <w:t>X</w:t>
      </w:r>
      <w:r w:rsidRPr="00183CFC">
        <w:rPr>
          <w:sz w:val="22"/>
          <w:szCs w:val="22"/>
        </w:rPr>
        <w:t xml:space="preserve"> destruction reactions will proceed much more slowly and some of the remaining fuel nitrogen forms additional NO</w:t>
      </w:r>
      <w:r w:rsidRPr="00183CFC">
        <w:rPr>
          <w:sz w:val="22"/>
          <w:szCs w:val="22"/>
          <w:vertAlign w:val="subscript"/>
        </w:rPr>
        <w:t>X</w:t>
      </w:r>
      <w:r w:rsidRPr="00183CFC">
        <w:rPr>
          <w:sz w:val="22"/>
          <w:szCs w:val="22"/>
        </w:rPr>
        <w:t xml:space="preserve">.  </w:t>
      </w:r>
    </w:p>
    <w:p w:rsidR="00F81E83" w:rsidRPr="00183CFC" w:rsidRDefault="00F81E83" w:rsidP="00F81E83">
      <w:pPr>
        <w:pStyle w:val="BodyText"/>
        <w:rPr>
          <w:sz w:val="22"/>
          <w:szCs w:val="22"/>
        </w:rPr>
      </w:pPr>
      <w:r w:rsidRPr="00183CFC">
        <w:rPr>
          <w:b/>
          <w:sz w:val="22"/>
          <w:szCs w:val="22"/>
        </w:rPr>
        <w:t>Equations 6, 7, 8 and 9.</w:t>
      </w:r>
      <w:r w:rsidRPr="00183CFC">
        <w:rPr>
          <w:sz w:val="22"/>
          <w:szCs w:val="22"/>
        </w:rPr>
        <w:t xml:space="preserve">  In the presence of the progressively oxidizing environment effected by the two OFA levels, NO</w:t>
      </w:r>
      <w:r w:rsidRPr="00183CFC">
        <w:rPr>
          <w:sz w:val="22"/>
          <w:szCs w:val="22"/>
          <w:vertAlign w:val="subscript"/>
        </w:rPr>
        <w:t>X</w:t>
      </w:r>
      <w:r w:rsidRPr="00183CFC">
        <w:rPr>
          <w:sz w:val="22"/>
          <w:szCs w:val="22"/>
        </w:rPr>
        <w:t xml:space="preserve"> formation rather than destruction predominates.  </w:t>
      </w:r>
    </w:p>
    <w:p w:rsidR="00F81E83" w:rsidRPr="00183CFC" w:rsidRDefault="00F81E83" w:rsidP="00F81E83">
      <w:pPr>
        <w:pStyle w:val="BodyText"/>
        <w:tabs>
          <w:tab w:val="right" w:pos="9000"/>
        </w:tabs>
        <w:rPr>
          <w:sz w:val="22"/>
          <w:szCs w:val="22"/>
        </w:rPr>
      </w:pPr>
      <w:r w:rsidRPr="00183CFC">
        <w:rPr>
          <w:position w:val="-12"/>
          <w:sz w:val="22"/>
          <w:szCs w:val="22"/>
        </w:rPr>
        <w:object w:dxaOrig="2240" w:dyaOrig="360">
          <v:shape id="_x0000_i1030" type="#_x0000_t75" style="width:117.05pt;height:19.5pt" o:ole="">
            <v:imagedata r:id="rId26" o:title=""/>
          </v:shape>
          <o:OLEObject Type="Embed" ProgID="Equation.3" ShapeID="_x0000_i1030" DrawAspect="Content" ObjectID="_1561370962" r:id="rId27"/>
        </w:object>
      </w:r>
      <w:r w:rsidRPr="00183CFC">
        <w:rPr>
          <w:sz w:val="22"/>
          <w:szCs w:val="22"/>
        </w:rPr>
        <w:tab/>
        <w:t>Eq. 6</w:t>
      </w:r>
    </w:p>
    <w:p w:rsidR="00F81E83" w:rsidRPr="00183CFC" w:rsidRDefault="00F81E83" w:rsidP="00F81E83">
      <w:pPr>
        <w:pStyle w:val="BodyText"/>
        <w:tabs>
          <w:tab w:val="right" w:pos="9000"/>
        </w:tabs>
        <w:rPr>
          <w:sz w:val="22"/>
          <w:szCs w:val="22"/>
        </w:rPr>
      </w:pPr>
      <w:r w:rsidRPr="00183CFC">
        <w:rPr>
          <w:position w:val="-10"/>
          <w:sz w:val="22"/>
          <w:szCs w:val="22"/>
        </w:rPr>
        <w:object w:dxaOrig="2260" w:dyaOrig="340">
          <v:shape id="_x0000_i1031" type="#_x0000_t75" style="width:113.25pt;height:19.5pt" o:ole="">
            <v:imagedata r:id="rId28" o:title=""/>
          </v:shape>
          <o:OLEObject Type="Embed" ProgID="Equation.3" ShapeID="_x0000_i1031" DrawAspect="Content" ObjectID="_1561370963" r:id="rId29"/>
        </w:object>
      </w:r>
      <w:r w:rsidRPr="00183CFC">
        <w:rPr>
          <w:sz w:val="22"/>
          <w:szCs w:val="22"/>
        </w:rPr>
        <w:tab/>
        <w:t>Eq. 7</w:t>
      </w:r>
    </w:p>
    <w:p w:rsidR="00F81E83" w:rsidRPr="00183CFC" w:rsidRDefault="00F81E83" w:rsidP="00F81E83">
      <w:pPr>
        <w:pStyle w:val="BodyText"/>
        <w:tabs>
          <w:tab w:val="right" w:pos="9000"/>
        </w:tabs>
        <w:rPr>
          <w:sz w:val="22"/>
          <w:szCs w:val="22"/>
        </w:rPr>
      </w:pPr>
      <w:r w:rsidRPr="00183CFC">
        <w:rPr>
          <w:position w:val="-10"/>
          <w:sz w:val="22"/>
          <w:szCs w:val="22"/>
        </w:rPr>
        <w:object w:dxaOrig="2400" w:dyaOrig="340">
          <v:shape id="_x0000_i1032" type="#_x0000_t75" style="width:120.7pt;height:19.5pt" o:ole="">
            <v:imagedata r:id="rId30" o:title=""/>
          </v:shape>
          <o:OLEObject Type="Embed" ProgID="Equation.3" ShapeID="_x0000_i1032" DrawAspect="Content" ObjectID="_1561370964" r:id="rId31"/>
        </w:object>
      </w:r>
      <w:r w:rsidRPr="00183CFC">
        <w:rPr>
          <w:sz w:val="22"/>
          <w:szCs w:val="22"/>
        </w:rPr>
        <w:tab/>
        <w:t>Eq. 8</w:t>
      </w:r>
    </w:p>
    <w:p w:rsidR="00F81E83" w:rsidRPr="00183CFC" w:rsidRDefault="00F81E83" w:rsidP="00F81E83">
      <w:pPr>
        <w:pStyle w:val="BodyText"/>
        <w:tabs>
          <w:tab w:val="right" w:pos="9000"/>
        </w:tabs>
        <w:rPr>
          <w:sz w:val="22"/>
          <w:szCs w:val="22"/>
        </w:rPr>
      </w:pPr>
      <w:r w:rsidRPr="00183CFC">
        <w:rPr>
          <w:position w:val="-10"/>
          <w:sz w:val="22"/>
          <w:szCs w:val="22"/>
        </w:rPr>
        <w:object w:dxaOrig="2439" w:dyaOrig="340">
          <v:shape id="_x0000_i1033" type="#_x0000_t75" style="width:124.5pt;height:19.5pt" o:ole="">
            <v:imagedata r:id="rId32" o:title=""/>
          </v:shape>
          <o:OLEObject Type="Embed" ProgID="Equation.3" ShapeID="_x0000_i1033" DrawAspect="Content" ObjectID="_1561370965" r:id="rId33"/>
        </w:object>
      </w:r>
      <w:r w:rsidRPr="00183CFC">
        <w:rPr>
          <w:sz w:val="22"/>
          <w:szCs w:val="22"/>
        </w:rPr>
        <w:tab/>
        <w:t>Eq. 9</w:t>
      </w:r>
    </w:p>
    <w:p w:rsidR="00F81E83" w:rsidRPr="00183CFC" w:rsidRDefault="00F81E83" w:rsidP="00F81E83">
      <w:pPr>
        <w:tabs>
          <w:tab w:val="left" w:pos="450"/>
        </w:tabs>
        <w:spacing w:before="120" w:after="120"/>
        <w:outlineLvl w:val="0"/>
        <w:rPr>
          <w:sz w:val="22"/>
          <w:szCs w:val="22"/>
        </w:rPr>
      </w:pPr>
      <w:r w:rsidRPr="00183CFC">
        <w:rPr>
          <w:sz w:val="22"/>
          <w:szCs w:val="22"/>
        </w:rPr>
        <w:t>The management of NO</w:t>
      </w:r>
      <w:r w:rsidRPr="00183CFC">
        <w:rPr>
          <w:sz w:val="22"/>
          <w:szCs w:val="22"/>
          <w:vertAlign w:val="subscript"/>
        </w:rPr>
        <w:t>X</w:t>
      </w:r>
      <w:r w:rsidRPr="00183CFC">
        <w:rPr>
          <w:sz w:val="22"/>
          <w:szCs w:val="22"/>
        </w:rPr>
        <w:t xml:space="preserve"> formation and destruction involves promotion of Eq. 1 through 5 to form N</w:t>
      </w:r>
      <w:r w:rsidRPr="00183CFC">
        <w:rPr>
          <w:sz w:val="22"/>
          <w:szCs w:val="22"/>
          <w:vertAlign w:val="subscript"/>
        </w:rPr>
        <w:t>2</w:t>
      </w:r>
      <w:r w:rsidRPr="00183CFC">
        <w:rPr>
          <w:sz w:val="22"/>
          <w:szCs w:val="22"/>
        </w:rPr>
        <w:t xml:space="preserve"> before the inevitable and progressive addition of OFA causes Eq. 6 through 9 to dominate.  This can be accomplished to the greatest degree by delaying and then adding the OFA in stages.  </w:t>
      </w:r>
    </w:p>
    <w:p w:rsidR="00F81E83" w:rsidRPr="00183CFC" w:rsidRDefault="00F81E83" w:rsidP="00F81E83">
      <w:pPr>
        <w:autoSpaceDE w:val="0"/>
        <w:autoSpaceDN w:val="0"/>
        <w:adjustRightInd w:val="0"/>
        <w:spacing w:after="120"/>
        <w:rPr>
          <w:sz w:val="22"/>
          <w:szCs w:val="22"/>
        </w:rPr>
      </w:pPr>
      <w:r w:rsidRPr="00183CFC">
        <w:rPr>
          <w:rFonts w:ascii="TimesNewRoman" w:hAnsi="TimesNewRoman" w:cs="TimesNewRoman"/>
          <w:sz w:val="22"/>
          <w:szCs w:val="22"/>
        </w:rPr>
        <w:t>It was previously mentioned that peak flame temperatures will increase when lower moisture content biomass fuels are combusted and during low load boiler operations.  During these periods, flue gas recirculation (FGR) will be employed to lower the peak flame temperatures thus avoiding the tendency to form thermal NO</w:t>
      </w:r>
      <w:r w:rsidRPr="00183CFC">
        <w:rPr>
          <w:rFonts w:ascii="TimesNewRoman" w:hAnsi="TimesNewRoman" w:cs="TimesNewRoman"/>
          <w:sz w:val="22"/>
          <w:szCs w:val="22"/>
          <w:vertAlign w:val="subscript"/>
        </w:rPr>
        <w:t>X</w:t>
      </w:r>
      <w:r w:rsidRPr="00183CFC">
        <w:rPr>
          <w:sz w:val="22"/>
          <w:szCs w:val="22"/>
        </w:rPr>
        <w:t>.</w:t>
      </w:r>
    </w:p>
    <w:p w:rsidR="003E3126" w:rsidRDefault="00F81E83" w:rsidP="00190881">
      <w:pPr>
        <w:widowControl w:val="0"/>
        <w:spacing w:after="120"/>
        <w:jc w:val="both"/>
        <w:rPr>
          <w:i/>
          <w:sz w:val="22"/>
          <w:szCs w:val="22"/>
        </w:rPr>
      </w:pPr>
      <w:r w:rsidRPr="00183CFC">
        <w:rPr>
          <w:sz w:val="22"/>
          <w:szCs w:val="22"/>
        </w:rPr>
        <w:t>The NO</w:t>
      </w:r>
      <w:r w:rsidRPr="00183CFC">
        <w:rPr>
          <w:sz w:val="22"/>
          <w:szCs w:val="22"/>
          <w:vertAlign w:val="subscript"/>
        </w:rPr>
        <w:t>X</w:t>
      </w:r>
      <w:r w:rsidRPr="00183CFC">
        <w:rPr>
          <w:sz w:val="22"/>
          <w:szCs w:val="22"/>
        </w:rPr>
        <w:t xml:space="preserve"> formation and destruction considerations must also be coupled with CO, PM and VOC management in a combined strategy that constitutes GCP.</w:t>
      </w:r>
    </w:p>
    <w:p w:rsidR="003E3126" w:rsidRDefault="003E3126" w:rsidP="003E3126">
      <w:pPr>
        <w:spacing w:after="120"/>
        <w:rPr>
          <w:sz w:val="22"/>
          <w:szCs w:val="22"/>
        </w:rPr>
      </w:pPr>
      <w:r w:rsidRPr="00A54600">
        <w:rPr>
          <w:sz w:val="22"/>
          <w:szCs w:val="22"/>
          <w:u w:val="single"/>
        </w:rPr>
        <w:t>Stoker Principles</w:t>
      </w:r>
      <w:r>
        <w:rPr>
          <w:sz w:val="22"/>
          <w:szCs w:val="22"/>
        </w:rPr>
        <w:t xml:space="preserve">.  </w:t>
      </w:r>
      <w:r w:rsidRPr="002028BE">
        <w:rPr>
          <w:sz w:val="22"/>
          <w:szCs w:val="22"/>
        </w:rPr>
        <w:t xml:space="preserve">Modern stoker units for </w:t>
      </w:r>
      <w:r>
        <w:rPr>
          <w:sz w:val="22"/>
          <w:szCs w:val="22"/>
        </w:rPr>
        <w:t xml:space="preserve">biomass </w:t>
      </w:r>
      <w:r w:rsidRPr="002028BE">
        <w:rPr>
          <w:sz w:val="22"/>
          <w:szCs w:val="22"/>
        </w:rPr>
        <w:t xml:space="preserve">firing are normally mechanical rotating grates or water/air-cooled vibrating grates depending on the fuel moisture content. </w:t>
      </w:r>
      <w:r>
        <w:rPr>
          <w:sz w:val="22"/>
          <w:szCs w:val="22"/>
        </w:rPr>
        <w:t xml:space="preserve"> </w:t>
      </w:r>
      <w:r w:rsidRPr="002028BE">
        <w:rPr>
          <w:sz w:val="22"/>
          <w:szCs w:val="22"/>
        </w:rPr>
        <w:t xml:space="preserve">Fuel is typically introduced into the boiler through multiple fuel chutes. </w:t>
      </w:r>
      <w:r>
        <w:rPr>
          <w:sz w:val="22"/>
          <w:szCs w:val="22"/>
        </w:rPr>
        <w:t xml:space="preserve"> Preheated combustion a</w:t>
      </w:r>
      <w:r w:rsidRPr="002028BE">
        <w:rPr>
          <w:sz w:val="22"/>
          <w:szCs w:val="22"/>
        </w:rPr>
        <w:t xml:space="preserve">ir is supplied under the grate as well as above via an OFA system. </w:t>
      </w:r>
      <w:r>
        <w:rPr>
          <w:sz w:val="22"/>
          <w:szCs w:val="22"/>
        </w:rPr>
        <w:t xml:space="preserve"> </w:t>
      </w:r>
      <w:r w:rsidRPr="002028BE">
        <w:rPr>
          <w:sz w:val="22"/>
          <w:szCs w:val="22"/>
        </w:rPr>
        <w:t>Depending on the fuel moisture content, the combustion air is pre-heated to 350 to 650</w:t>
      </w:r>
      <w:r>
        <w:rPr>
          <w:sz w:val="22"/>
          <w:szCs w:val="22"/>
        </w:rPr>
        <w:t xml:space="preserve"> °</w:t>
      </w:r>
      <w:r w:rsidRPr="002028BE">
        <w:rPr>
          <w:sz w:val="22"/>
          <w:szCs w:val="22"/>
        </w:rPr>
        <w:t xml:space="preserve">F. </w:t>
      </w:r>
      <w:r>
        <w:rPr>
          <w:sz w:val="22"/>
          <w:szCs w:val="22"/>
        </w:rPr>
        <w:t xml:space="preserve"> </w:t>
      </w:r>
      <w:r w:rsidRPr="002C5EBF">
        <w:rPr>
          <w:rFonts w:ascii="TimesNewRoman" w:hAnsi="TimesNewRoman" w:cs="TimesNewRoman"/>
          <w:sz w:val="22"/>
          <w:szCs w:val="22"/>
        </w:rPr>
        <w:t>The furnace temperature is</w:t>
      </w:r>
      <w:r>
        <w:rPr>
          <w:rFonts w:ascii="TimesNewRoman" w:hAnsi="TimesNewRoman" w:cs="TimesNewRoman"/>
          <w:sz w:val="22"/>
          <w:szCs w:val="22"/>
        </w:rPr>
        <w:t xml:space="preserve"> greater than experienced in a BFB boiler and thus it is possible to form both </w:t>
      </w:r>
      <w:r w:rsidRPr="00446157">
        <w:rPr>
          <w:rFonts w:ascii="TimesNewRoman" w:hAnsi="TimesNewRoman" w:cs="TimesNewRoman"/>
          <w:sz w:val="22"/>
          <w:szCs w:val="22"/>
          <w:u w:val="single"/>
        </w:rPr>
        <w:t>fuel and t</w:t>
      </w:r>
      <w:r w:rsidRPr="009A72BB">
        <w:rPr>
          <w:rFonts w:ascii="TimesNewRoman" w:hAnsi="TimesNewRoman" w:cs="TimesNewRoman"/>
          <w:sz w:val="22"/>
          <w:szCs w:val="22"/>
          <w:u w:val="single"/>
        </w:rPr>
        <w:t>hermal NO</w:t>
      </w:r>
      <w:r w:rsidRPr="009A72BB">
        <w:rPr>
          <w:rFonts w:ascii="TimesNewRoman" w:hAnsi="TimesNewRoman" w:cs="TimesNewRoman"/>
          <w:sz w:val="22"/>
          <w:szCs w:val="22"/>
          <w:u w:val="single"/>
          <w:vertAlign w:val="subscript"/>
        </w:rPr>
        <w:t>X</w:t>
      </w:r>
      <w:r w:rsidRPr="002C5EBF">
        <w:rPr>
          <w:rFonts w:ascii="TimesNewRoman" w:hAnsi="TimesNewRoman" w:cs="TimesNewRoman"/>
          <w:sz w:val="22"/>
          <w:szCs w:val="22"/>
        </w:rPr>
        <w:t>.</w:t>
      </w:r>
    </w:p>
    <w:p w:rsidR="003E3126" w:rsidRDefault="003E3126" w:rsidP="003E3126">
      <w:pPr>
        <w:spacing w:after="120"/>
        <w:rPr>
          <w:sz w:val="22"/>
          <w:szCs w:val="22"/>
        </w:rPr>
      </w:pPr>
      <w:r w:rsidRPr="002028BE">
        <w:rPr>
          <w:sz w:val="22"/>
          <w:szCs w:val="22"/>
        </w:rPr>
        <w:t xml:space="preserve">Due to high shaft velocities in the lower furnace and the </w:t>
      </w:r>
      <w:r>
        <w:rPr>
          <w:sz w:val="22"/>
          <w:szCs w:val="22"/>
        </w:rPr>
        <w:t xml:space="preserve">manner by which </w:t>
      </w:r>
      <w:r w:rsidRPr="002028BE">
        <w:rPr>
          <w:sz w:val="22"/>
          <w:szCs w:val="22"/>
        </w:rPr>
        <w:t xml:space="preserve">fuel </w:t>
      </w:r>
      <w:r>
        <w:rPr>
          <w:sz w:val="22"/>
          <w:szCs w:val="22"/>
        </w:rPr>
        <w:t>is spread or thrown onto the grate</w:t>
      </w:r>
      <w:r w:rsidRPr="002028BE">
        <w:rPr>
          <w:sz w:val="22"/>
          <w:szCs w:val="22"/>
        </w:rPr>
        <w:t xml:space="preserve">, </w:t>
      </w:r>
      <w:r>
        <w:rPr>
          <w:sz w:val="22"/>
          <w:szCs w:val="22"/>
        </w:rPr>
        <w:t xml:space="preserve">some </w:t>
      </w:r>
      <w:r w:rsidRPr="002028BE">
        <w:rPr>
          <w:sz w:val="22"/>
          <w:szCs w:val="22"/>
        </w:rPr>
        <w:t>unburned fuel</w:t>
      </w:r>
      <w:r>
        <w:rPr>
          <w:sz w:val="22"/>
          <w:szCs w:val="22"/>
        </w:rPr>
        <w:t xml:space="preserve"> (</w:t>
      </w:r>
      <w:r w:rsidRPr="002028BE">
        <w:rPr>
          <w:sz w:val="22"/>
          <w:szCs w:val="22"/>
        </w:rPr>
        <w:t>carbon</w:t>
      </w:r>
      <w:r>
        <w:rPr>
          <w:sz w:val="22"/>
          <w:szCs w:val="22"/>
        </w:rPr>
        <w:t>aceous ash)</w:t>
      </w:r>
      <w:r w:rsidRPr="002028BE">
        <w:rPr>
          <w:sz w:val="22"/>
          <w:szCs w:val="22"/>
        </w:rPr>
        <w:t xml:space="preserve"> </w:t>
      </w:r>
      <w:r>
        <w:rPr>
          <w:sz w:val="22"/>
          <w:szCs w:val="22"/>
        </w:rPr>
        <w:t xml:space="preserve">is </w:t>
      </w:r>
      <w:r w:rsidRPr="002028BE">
        <w:rPr>
          <w:sz w:val="22"/>
          <w:szCs w:val="22"/>
        </w:rPr>
        <w:t xml:space="preserve">carried out of the furnace. </w:t>
      </w:r>
      <w:r>
        <w:rPr>
          <w:sz w:val="22"/>
          <w:szCs w:val="22"/>
        </w:rPr>
        <w:t xml:space="preserve"> </w:t>
      </w:r>
      <w:r w:rsidRPr="002028BE">
        <w:rPr>
          <w:sz w:val="22"/>
          <w:szCs w:val="22"/>
        </w:rPr>
        <w:t xml:space="preserve">In order to recover </w:t>
      </w:r>
      <w:r>
        <w:rPr>
          <w:sz w:val="22"/>
          <w:szCs w:val="22"/>
        </w:rPr>
        <w:t xml:space="preserve">the energy value </w:t>
      </w:r>
      <w:r>
        <w:rPr>
          <w:sz w:val="22"/>
          <w:szCs w:val="22"/>
        </w:rPr>
        <w:lastRenderedPageBreak/>
        <w:t xml:space="preserve">of this </w:t>
      </w:r>
      <w:r w:rsidRPr="002028BE">
        <w:rPr>
          <w:sz w:val="22"/>
          <w:szCs w:val="22"/>
        </w:rPr>
        <w:t>carbon</w:t>
      </w:r>
      <w:r>
        <w:rPr>
          <w:sz w:val="22"/>
          <w:szCs w:val="22"/>
        </w:rPr>
        <w:t>aceous ash, s</w:t>
      </w:r>
      <w:r w:rsidRPr="002028BE">
        <w:rPr>
          <w:sz w:val="22"/>
          <w:szCs w:val="22"/>
        </w:rPr>
        <w:t xml:space="preserve">toker-fired boilers typically include </w:t>
      </w:r>
      <w:r>
        <w:rPr>
          <w:sz w:val="22"/>
          <w:szCs w:val="22"/>
        </w:rPr>
        <w:t xml:space="preserve">a </w:t>
      </w:r>
      <w:r w:rsidRPr="002028BE">
        <w:rPr>
          <w:sz w:val="22"/>
          <w:szCs w:val="22"/>
        </w:rPr>
        <w:t>re-injection system that recycle</w:t>
      </w:r>
      <w:r>
        <w:rPr>
          <w:sz w:val="22"/>
          <w:szCs w:val="22"/>
        </w:rPr>
        <w:t>s</w:t>
      </w:r>
      <w:r w:rsidRPr="002028BE">
        <w:rPr>
          <w:sz w:val="22"/>
          <w:szCs w:val="22"/>
        </w:rPr>
        <w:t xml:space="preserve"> the carbon</w:t>
      </w:r>
      <w:r>
        <w:rPr>
          <w:sz w:val="22"/>
          <w:szCs w:val="22"/>
        </w:rPr>
        <w:t xml:space="preserve">aceous ash </w:t>
      </w:r>
      <w:r w:rsidRPr="002028BE">
        <w:rPr>
          <w:sz w:val="22"/>
          <w:szCs w:val="22"/>
        </w:rPr>
        <w:t xml:space="preserve">back into the furnace. </w:t>
      </w:r>
      <w:r>
        <w:rPr>
          <w:sz w:val="22"/>
          <w:szCs w:val="22"/>
        </w:rPr>
        <w:t xml:space="preserve"> </w:t>
      </w:r>
    </w:p>
    <w:p w:rsidR="003E3126" w:rsidRPr="002028BE" w:rsidRDefault="003E3126" w:rsidP="003E3126">
      <w:pPr>
        <w:spacing w:after="120"/>
        <w:rPr>
          <w:sz w:val="22"/>
          <w:szCs w:val="22"/>
        </w:rPr>
      </w:pPr>
      <w:r>
        <w:rPr>
          <w:sz w:val="22"/>
          <w:szCs w:val="22"/>
        </w:rPr>
        <w:t xml:space="preserve">Because of the hot particle carryover and possible effects on fabric filters, ESP technology is usually incorporated into wood biomass stoker technology projects.  </w:t>
      </w:r>
      <w:r w:rsidRPr="002028BE">
        <w:rPr>
          <w:sz w:val="22"/>
          <w:szCs w:val="22"/>
        </w:rPr>
        <w:t xml:space="preserve">A mechanical dust collector is also typically installed to prevent heavy </w:t>
      </w:r>
      <w:r>
        <w:rPr>
          <w:sz w:val="22"/>
          <w:szCs w:val="22"/>
        </w:rPr>
        <w:t xml:space="preserve">(possibly abrasive) </w:t>
      </w:r>
      <w:r w:rsidRPr="002028BE">
        <w:rPr>
          <w:sz w:val="22"/>
          <w:szCs w:val="22"/>
        </w:rPr>
        <w:t xml:space="preserve">particle carryover from reaching the </w:t>
      </w:r>
      <w:r>
        <w:rPr>
          <w:sz w:val="22"/>
          <w:szCs w:val="22"/>
        </w:rPr>
        <w:t>ESP</w:t>
      </w:r>
      <w:r w:rsidRPr="002028BE">
        <w:rPr>
          <w:sz w:val="22"/>
          <w:szCs w:val="22"/>
        </w:rPr>
        <w:t xml:space="preserve">. </w:t>
      </w:r>
    </w:p>
    <w:p w:rsidR="003E3126" w:rsidRPr="00801B82" w:rsidRDefault="0005256D" w:rsidP="003E3126">
      <w:pPr>
        <w:spacing w:after="120"/>
        <w:rPr>
          <w:sz w:val="22"/>
          <w:szCs w:val="22"/>
        </w:rPr>
      </w:pPr>
      <w:r w:rsidRPr="0005256D">
        <w:rPr>
          <w:rFonts w:ascii="Times New Roman Bold" w:hAnsi="Times New Roman Bold"/>
          <w:b/>
          <w:sz w:val="22"/>
          <w:szCs w:val="22"/>
        </w:rPr>
        <w:fldChar w:fldCharType="begin"/>
      </w:r>
      <w:r w:rsidRPr="0005256D">
        <w:rPr>
          <w:rFonts w:ascii="Times New Roman Bold" w:hAnsi="Times New Roman Bold"/>
          <w:b/>
          <w:sz w:val="22"/>
          <w:szCs w:val="22"/>
        </w:rPr>
        <w:instrText xml:space="preserve"> REF _Ref479248809 \h </w:instrText>
      </w:r>
      <w:r>
        <w:rPr>
          <w:rFonts w:ascii="Times New Roman Bold" w:hAnsi="Times New Roman Bold"/>
          <w:b/>
          <w:sz w:val="22"/>
          <w:szCs w:val="22"/>
        </w:rPr>
        <w:instrText xml:space="preserve"> \* MERGEFORMAT </w:instrText>
      </w:r>
      <w:r w:rsidRPr="0005256D">
        <w:rPr>
          <w:rFonts w:ascii="Times New Roman Bold" w:hAnsi="Times New Roman Bold"/>
          <w:b/>
          <w:sz w:val="22"/>
          <w:szCs w:val="22"/>
        </w:rPr>
      </w:r>
      <w:r w:rsidRPr="0005256D">
        <w:rPr>
          <w:rFonts w:ascii="Times New Roman Bold" w:hAnsi="Times New Roman Bold"/>
          <w:b/>
          <w:sz w:val="22"/>
          <w:szCs w:val="22"/>
        </w:rPr>
        <w:fldChar w:fldCharType="separate"/>
      </w:r>
      <w:r w:rsidR="005A4C55" w:rsidRPr="005A4C55">
        <w:rPr>
          <w:rFonts w:ascii="Times New Roman Bold" w:hAnsi="Times New Roman Bold"/>
          <w:b/>
          <w:sz w:val="22"/>
        </w:rPr>
        <w:t xml:space="preserve">Figure </w:t>
      </w:r>
      <w:r w:rsidR="005A4C55" w:rsidRPr="005A4C55">
        <w:rPr>
          <w:rFonts w:ascii="Times New Roman Bold" w:hAnsi="Times New Roman Bold"/>
          <w:b/>
          <w:noProof/>
          <w:sz w:val="22"/>
        </w:rPr>
        <w:t>7</w:t>
      </w:r>
      <w:r w:rsidRPr="0005256D">
        <w:rPr>
          <w:rFonts w:ascii="Times New Roman Bold" w:hAnsi="Times New Roman Bold"/>
          <w:b/>
          <w:sz w:val="22"/>
          <w:szCs w:val="22"/>
        </w:rPr>
        <w:fldChar w:fldCharType="end"/>
      </w:r>
      <w:r w:rsidR="003E3126" w:rsidRPr="0005256D">
        <w:rPr>
          <w:rFonts w:ascii="Times New Roman Bold" w:hAnsi="Times New Roman Bold"/>
          <w:b/>
          <w:sz w:val="22"/>
          <w:szCs w:val="22"/>
        </w:rPr>
        <w:t xml:space="preserve"> </w:t>
      </w:r>
      <w:r w:rsidR="003E3126" w:rsidRPr="00D730E2">
        <w:rPr>
          <w:sz w:val="22"/>
          <w:szCs w:val="22"/>
        </w:rPr>
        <w:t>i</w:t>
      </w:r>
      <w:r w:rsidR="003E3126">
        <w:rPr>
          <w:sz w:val="22"/>
          <w:szCs w:val="22"/>
        </w:rPr>
        <w:t xml:space="preserve">ncludes a diagram of a Detroit Hydro-Grate and a typical stoker-based process schematic.  </w:t>
      </w:r>
      <w:r w:rsidR="003E3126" w:rsidRPr="00801B82">
        <w:rPr>
          <w:sz w:val="22"/>
          <w:szCs w:val="22"/>
        </w:rPr>
        <w:t xml:space="preserve">Sized fuel is metered to a series of distribution devices which spread it uniformly over the stoker grate surface. </w:t>
      </w:r>
      <w:r w:rsidR="003E3126">
        <w:rPr>
          <w:sz w:val="22"/>
          <w:szCs w:val="22"/>
        </w:rPr>
        <w:t xml:space="preserve"> </w:t>
      </w:r>
      <w:r w:rsidR="003E3126" w:rsidRPr="00801B82">
        <w:rPr>
          <w:sz w:val="22"/>
          <w:szCs w:val="22"/>
        </w:rPr>
        <w:t xml:space="preserve">Fine particles of fuel are rapidly burned in suspension assisted by </w:t>
      </w:r>
      <w:r w:rsidR="003E3126">
        <w:rPr>
          <w:sz w:val="22"/>
          <w:szCs w:val="22"/>
        </w:rPr>
        <w:t>OFA</w:t>
      </w:r>
      <w:r w:rsidR="003E3126" w:rsidRPr="00801B82">
        <w:rPr>
          <w:sz w:val="22"/>
          <w:szCs w:val="22"/>
        </w:rPr>
        <w:t xml:space="preserve">. </w:t>
      </w:r>
      <w:r w:rsidR="003E3126">
        <w:rPr>
          <w:sz w:val="22"/>
          <w:szCs w:val="22"/>
        </w:rPr>
        <w:t xml:space="preserve"> </w:t>
      </w:r>
      <w:r w:rsidR="003E3126" w:rsidRPr="00801B82">
        <w:rPr>
          <w:sz w:val="22"/>
          <w:szCs w:val="22"/>
        </w:rPr>
        <w:t xml:space="preserve">Coarser, heavier fuel particles are spread evenly on the grate forming a thin, fast-burning fuel bed. </w:t>
      </w:r>
      <w:r w:rsidR="003E3126">
        <w:rPr>
          <w:sz w:val="22"/>
          <w:szCs w:val="22"/>
        </w:rPr>
        <w:t xml:space="preserve"> </w:t>
      </w:r>
    </w:p>
    <w:p w:rsidR="0005256D" w:rsidRDefault="003E3126" w:rsidP="0005256D">
      <w:pPr>
        <w:keepNext/>
        <w:spacing w:after="120"/>
        <w:ind w:right="-450"/>
      </w:pPr>
      <w:r>
        <w:rPr>
          <w:noProof/>
          <w:sz w:val="22"/>
          <w:szCs w:val="22"/>
        </w:rPr>
        <mc:AlternateContent>
          <mc:Choice Requires="wps">
            <w:drawing>
              <wp:anchor distT="0" distB="0" distL="114300" distR="114300" simplePos="0" relativeHeight="251676672" behindDoc="0" locked="0" layoutInCell="1" allowOverlap="1">
                <wp:simplePos x="0" y="0"/>
                <wp:positionH relativeFrom="column">
                  <wp:posOffset>4419600</wp:posOffset>
                </wp:positionH>
                <wp:positionV relativeFrom="paragraph">
                  <wp:posOffset>800100</wp:posOffset>
                </wp:positionV>
                <wp:extent cx="304800" cy="228600"/>
                <wp:effectExtent l="0" t="0" r="0" b="0"/>
                <wp:wrapNone/>
                <wp:docPr id="160"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2860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E318E" w:rsidRPr="006919FD" w:rsidRDefault="004E318E" w:rsidP="003E3126">
                            <w:pPr>
                              <w:ind w:left="-120"/>
                              <w:rPr>
                                <w:rFonts w:ascii="Arial" w:hAnsi="Arial" w:cs="Arial"/>
                                <w:b/>
                                <w:sz w:val="16"/>
                                <w:szCs w:val="16"/>
                              </w:rPr>
                            </w:pPr>
                            <w:r w:rsidRPr="008A7640">
                              <w:rPr>
                                <w:rFonts w:ascii="Arial" w:hAnsi="Arial" w:cs="Arial"/>
                                <w:b/>
                                <w:sz w:val="12"/>
                                <w:szCs w:val="12"/>
                              </w:rPr>
                              <w:t>ESP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0" o:spid="_x0000_s1047" type="#_x0000_t202" style="position:absolute;margin-left:348pt;margin-top:63pt;width:24pt;height: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" stroked="f" strokeweight="1.5pt">
                <v:textbox>
                  <w:txbxContent>
                    <w:p w:rsidR="004E318E" w:rsidRPr="006919FD" w:rsidRDefault="004E318E" w:rsidP="003E3126">
                      <w:pPr>
                        <w:ind w:left="-120"/>
                        <w:rPr>
                          <w:rFonts w:ascii="Arial" w:hAnsi="Arial" w:cs="Arial"/>
                          <w:b/>
                          <w:sz w:val="16"/>
                          <w:szCs w:val="16"/>
                        </w:rPr>
                      </w:pPr>
                      <w:r w:rsidRPr="008A7640">
                        <w:rPr>
                          <w:rFonts w:ascii="Arial" w:hAnsi="Arial" w:cs="Arial"/>
                          <w:b/>
                          <w:sz w:val="12"/>
                          <w:szCs w:val="12"/>
                        </w:rPr>
                        <w:t>ESP</w:t>
                      </w:r>
                    </w:p>
                  </w:txbxContent>
                </v:textbox>
              </v:shape>
            </w:pict>
          </mc:Fallback>
        </mc:AlternateContent>
      </w:r>
      <w:r>
        <w:rPr>
          <w:noProof/>
          <w:sz w:val="22"/>
          <w:szCs w:val="22"/>
        </w:rPr>
        <w:drawing>
          <wp:inline distT="0" distB="0" distL="0" distR="0" wp14:anchorId="278E31C3" wp14:editId="1517DB30">
            <wp:extent cx="1419225" cy="1666875"/>
            <wp:effectExtent l="19050" t="0" r="9525" b="0"/>
            <wp:docPr id="163" name="Picture 163" descr="G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Grate"/>
                    <pic:cNvPicPr>
                      <a:picLocks noChangeAspect="1" noChangeArrowheads="1"/>
                    </pic:cNvPicPr>
                  </pic:nvPicPr>
                  <pic:blipFill>
                    <a:blip r:embed="rId34" cstate="print"/>
                    <a:srcRect/>
                    <a:stretch>
                      <a:fillRect/>
                    </a:stretch>
                  </pic:blipFill>
                  <pic:spPr bwMode="auto">
                    <a:xfrm>
                      <a:off x="0" y="0"/>
                      <a:ext cx="1419225" cy="1666875"/>
                    </a:xfrm>
                    <a:prstGeom prst="rect">
                      <a:avLst/>
                    </a:prstGeom>
                    <a:noFill/>
                    <a:ln w="9525">
                      <a:noFill/>
                      <a:miter lim="800000"/>
                      <a:headEnd/>
                      <a:tailEnd/>
                    </a:ln>
                  </pic:spPr>
                </pic:pic>
              </a:graphicData>
            </a:graphic>
          </wp:inline>
        </w:drawing>
      </w:r>
      <w:r>
        <w:rPr>
          <w:noProof/>
          <w:sz w:val="22"/>
          <w:szCs w:val="22"/>
        </w:rPr>
        <w:drawing>
          <wp:inline distT="0" distB="0" distL="0" distR="0" wp14:anchorId="4F406FA4" wp14:editId="7607D10C">
            <wp:extent cx="4714875" cy="1685925"/>
            <wp:effectExtent l="19050" t="19050" r="28575" b="2857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5" cstate="print"/>
                    <a:srcRect/>
                    <a:stretch>
                      <a:fillRect/>
                    </a:stretch>
                  </pic:blipFill>
                  <pic:spPr bwMode="auto">
                    <a:xfrm>
                      <a:off x="0" y="0"/>
                      <a:ext cx="4714875" cy="1685925"/>
                    </a:xfrm>
                    <a:prstGeom prst="rect">
                      <a:avLst/>
                    </a:prstGeom>
                    <a:noFill/>
                    <a:ln w="9525">
                      <a:solidFill>
                        <a:schemeClr val="tx1"/>
                      </a:solidFill>
                      <a:miter lim="800000"/>
                      <a:headEnd/>
                      <a:tailEnd/>
                    </a:ln>
                  </pic:spPr>
                </pic:pic>
              </a:graphicData>
            </a:graphic>
          </wp:inline>
        </w:drawing>
      </w:r>
    </w:p>
    <w:p w:rsidR="003E3126" w:rsidRPr="0005256D" w:rsidRDefault="0005256D" w:rsidP="0005256D">
      <w:pPr>
        <w:pStyle w:val="Caption"/>
        <w:spacing w:before="120"/>
        <w:jc w:val="center"/>
        <w:rPr>
          <w:rFonts w:ascii="Times New Roman Bold" w:hAnsi="Times New Roman Bold"/>
          <w:caps w:val="0"/>
          <w:szCs w:val="22"/>
        </w:rPr>
      </w:pPr>
      <w:bookmarkStart w:id="14" w:name="_Ref479248809"/>
      <w:r w:rsidRPr="0005256D">
        <w:rPr>
          <w:rFonts w:ascii="Times New Roman Bold" w:hAnsi="Times New Roman Bold"/>
          <w:caps w:val="0"/>
        </w:rPr>
        <w:t xml:space="preserve">Figure </w:t>
      </w:r>
      <w:r w:rsidRPr="0005256D">
        <w:rPr>
          <w:rFonts w:ascii="Times New Roman Bold" w:hAnsi="Times New Roman Bold"/>
          <w:caps w:val="0"/>
        </w:rPr>
        <w:fldChar w:fldCharType="begin"/>
      </w:r>
      <w:r w:rsidRPr="0005256D">
        <w:rPr>
          <w:rFonts w:ascii="Times New Roman Bold" w:hAnsi="Times New Roman Bold"/>
          <w:caps w:val="0"/>
        </w:rPr>
        <w:instrText xml:space="preserve"> SEQ Figure \* ARABIC </w:instrText>
      </w:r>
      <w:r w:rsidRPr="0005256D">
        <w:rPr>
          <w:rFonts w:ascii="Times New Roman Bold" w:hAnsi="Times New Roman Bold"/>
          <w:caps w:val="0"/>
        </w:rPr>
        <w:fldChar w:fldCharType="separate"/>
      </w:r>
      <w:r w:rsidR="005A4C55">
        <w:rPr>
          <w:rFonts w:ascii="Times New Roman Bold" w:hAnsi="Times New Roman Bold"/>
          <w:caps w:val="0"/>
          <w:noProof/>
        </w:rPr>
        <w:t>7</w:t>
      </w:r>
      <w:r w:rsidRPr="0005256D">
        <w:rPr>
          <w:rFonts w:ascii="Times New Roman Bold" w:hAnsi="Times New Roman Bold"/>
          <w:caps w:val="0"/>
        </w:rPr>
        <w:fldChar w:fldCharType="end"/>
      </w:r>
      <w:bookmarkEnd w:id="14"/>
      <w:r w:rsidRPr="0005256D">
        <w:rPr>
          <w:rFonts w:ascii="Times New Roman Bold" w:hAnsi="Times New Roman Bold"/>
          <w:caps w:val="0"/>
        </w:rPr>
        <w:t>.  Detroit Hydro-Grate and Typical Stoker-based Process Schematic.</w:t>
      </w:r>
    </w:p>
    <w:p w:rsidR="003E3126" w:rsidRDefault="003E3126" w:rsidP="003E3126">
      <w:pPr>
        <w:widowControl w:val="0"/>
        <w:spacing w:after="120"/>
        <w:jc w:val="both"/>
        <w:rPr>
          <w:sz w:val="22"/>
          <w:szCs w:val="22"/>
        </w:rPr>
      </w:pPr>
      <w:r w:rsidRPr="00801B82">
        <w:rPr>
          <w:sz w:val="22"/>
          <w:szCs w:val="22"/>
        </w:rPr>
        <w:t>The Detroit Hydro</w:t>
      </w:r>
      <w:r>
        <w:rPr>
          <w:sz w:val="22"/>
          <w:szCs w:val="22"/>
        </w:rPr>
        <w:t>-Grate</w:t>
      </w:r>
      <w:r w:rsidRPr="00801B82">
        <w:rPr>
          <w:sz w:val="22"/>
          <w:szCs w:val="22"/>
        </w:rPr>
        <w:t xml:space="preserve"> stoker </w:t>
      </w:r>
      <w:r>
        <w:rPr>
          <w:sz w:val="22"/>
          <w:szCs w:val="22"/>
        </w:rPr>
        <w:t>includes an</w:t>
      </w:r>
      <w:r w:rsidRPr="00801B82">
        <w:rPr>
          <w:sz w:val="22"/>
          <w:szCs w:val="22"/>
        </w:rPr>
        <w:t xml:space="preserve"> automatic ash discharge</w:t>
      </w:r>
      <w:r>
        <w:rPr>
          <w:sz w:val="22"/>
          <w:szCs w:val="22"/>
        </w:rPr>
        <w:t xml:space="preserve"> system</w:t>
      </w:r>
      <w:r w:rsidRPr="00801B82">
        <w:rPr>
          <w:sz w:val="22"/>
          <w:szCs w:val="22"/>
        </w:rPr>
        <w:t xml:space="preserve"> and water-cooled grates.</w:t>
      </w:r>
      <w:r>
        <w:rPr>
          <w:sz w:val="22"/>
          <w:szCs w:val="22"/>
        </w:rPr>
        <w:t xml:space="preserve"> </w:t>
      </w:r>
      <w:r w:rsidRPr="00801B82">
        <w:rPr>
          <w:sz w:val="22"/>
          <w:szCs w:val="22"/>
        </w:rPr>
        <w:t xml:space="preserve"> </w:t>
      </w:r>
      <w:r>
        <w:rPr>
          <w:sz w:val="22"/>
          <w:szCs w:val="22"/>
        </w:rPr>
        <w:t>T</w:t>
      </w:r>
      <w:r w:rsidRPr="00801B82">
        <w:rPr>
          <w:sz w:val="22"/>
          <w:szCs w:val="22"/>
        </w:rPr>
        <w:t>he higher combustion air temperature needed to burn high moisture fuel can be maintained without damaging the grates</w:t>
      </w:r>
      <w:r>
        <w:rPr>
          <w:sz w:val="22"/>
          <w:szCs w:val="22"/>
        </w:rPr>
        <w:t>.</w:t>
      </w:r>
    </w:p>
    <w:p w:rsidR="008E687E" w:rsidRDefault="0005256D" w:rsidP="00A26278">
      <w:pPr>
        <w:tabs>
          <w:tab w:val="left" w:pos="4320"/>
        </w:tabs>
        <w:spacing w:after="120"/>
        <w:ind w:right="36"/>
        <w:rPr>
          <w:sz w:val="22"/>
          <w:szCs w:val="22"/>
        </w:rPr>
      </w:pPr>
      <w:r>
        <w:rPr>
          <w:sz w:val="22"/>
          <w:szCs w:val="22"/>
        </w:rPr>
        <w:t>While the spreader stoker technology results in higher uncontrolled NO</w:t>
      </w:r>
      <w:r w:rsidRPr="0005256D">
        <w:rPr>
          <w:sz w:val="22"/>
          <w:szCs w:val="22"/>
          <w:vertAlign w:val="subscript"/>
        </w:rPr>
        <w:t>X</w:t>
      </w:r>
      <w:r>
        <w:rPr>
          <w:sz w:val="22"/>
          <w:szCs w:val="22"/>
        </w:rPr>
        <w:t xml:space="preserve"> emissions than BFB technology, a stoker can achieve similarly low emissions through the use of GCP and add-on controls.</w:t>
      </w:r>
      <w:r w:rsidR="008E687E">
        <w:rPr>
          <w:sz w:val="22"/>
          <w:szCs w:val="22"/>
        </w:rPr>
        <w:t xml:space="preserve">  Basically, all of the NO</w:t>
      </w:r>
      <w:r w:rsidR="008E687E" w:rsidRPr="00A83D42">
        <w:rPr>
          <w:sz w:val="22"/>
          <w:szCs w:val="22"/>
          <w:vertAlign w:val="subscript"/>
        </w:rPr>
        <w:t>X</w:t>
      </w:r>
      <w:r w:rsidR="008E687E">
        <w:rPr>
          <w:sz w:val="22"/>
          <w:szCs w:val="22"/>
        </w:rPr>
        <w:t xml:space="preserve"> formation and destruction phenomena described for the BFB boiler in Eq. 1 through 9 exist for the stoker to varying degrees.  </w:t>
      </w:r>
      <w:r w:rsidR="001A480F">
        <w:rPr>
          <w:sz w:val="22"/>
          <w:szCs w:val="22"/>
        </w:rPr>
        <w:t>The technology, known as VLN</w:t>
      </w:r>
      <w:r w:rsidR="008E687E" w:rsidRPr="00005FB6">
        <w:rPr>
          <w:sz w:val="22"/>
          <w:szCs w:val="22"/>
        </w:rPr>
        <w:t>, employs combustion system design, which in addition to conventional primary and secondary air streams, also features a</w:t>
      </w:r>
      <w:r w:rsidR="008E687E">
        <w:rPr>
          <w:sz w:val="22"/>
          <w:szCs w:val="22"/>
        </w:rPr>
        <w:t xml:space="preserve"> </w:t>
      </w:r>
      <w:r w:rsidR="008E687E" w:rsidRPr="00005FB6">
        <w:rPr>
          <w:sz w:val="22"/>
          <w:szCs w:val="22"/>
        </w:rPr>
        <w:t xml:space="preserve">new internal stream of </w:t>
      </w:r>
      <w:r w:rsidR="008E687E">
        <w:rPr>
          <w:sz w:val="22"/>
          <w:szCs w:val="22"/>
        </w:rPr>
        <w:t xml:space="preserve">gas called “VLN </w:t>
      </w:r>
      <w:r w:rsidR="008E687E" w:rsidRPr="00005FB6">
        <w:rPr>
          <w:sz w:val="22"/>
          <w:szCs w:val="22"/>
        </w:rPr>
        <w:t>gas,” which is drawn from the</w:t>
      </w:r>
      <w:r w:rsidR="008E687E">
        <w:rPr>
          <w:sz w:val="22"/>
          <w:szCs w:val="22"/>
        </w:rPr>
        <w:t xml:space="preserve"> </w:t>
      </w:r>
      <w:r w:rsidR="008E687E" w:rsidRPr="00005FB6">
        <w:rPr>
          <w:sz w:val="22"/>
          <w:szCs w:val="22"/>
        </w:rPr>
        <w:t xml:space="preserve">combustor and re-injected into the furnace. </w:t>
      </w:r>
      <w:r w:rsidR="008E687E">
        <w:rPr>
          <w:sz w:val="22"/>
          <w:szCs w:val="22"/>
        </w:rPr>
        <w:t xml:space="preserve"> </w:t>
      </w:r>
      <w:r w:rsidR="008E687E" w:rsidRPr="00005FB6">
        <w:rPr>
          <w:sz w:val="22"/>
          <w:szCs w:val="22"/>
        </w:rPr>
        <w:t>The gas flow</w:t>
      </w:r>
      <w:r w:rsidR="008E687E">
        <w:rPr>
          <w:sz w:val="22"/>
          <w:szCs w:val="22"/>
        </w:rPr>
        <w:t xml:space="preserve"> </w:t>
      </w:r>
      <w:r w:rsidR="008E687E" w:rsidRPr="00005FB6">
        <w:rPr>
          <w:sz w:val="22"/>
          <w:szCs w:val="22"/>
        </w:rPr>
        <w:t>distribution between the primary and secondary air, as well as</w:t>
      </w:r>
      <w:r w:rsidR="001A480F">
        <w:rPr>
          <w:sz w:val="22"/>
          <w:szCs w:val="22"/>
        </w:rPr>
        <w:t xml:space="preserve"> the VLN</w:t>
      </w:r>
      <w:r w:rsidR="008E687E">
        <w:rPr>
          <w:sz w:val="22"/>
          <w:szCs w:val="22"/>
        </w:rPr>
        <w:t xml:space="preserve"> </w:t>
      </w:r>
      <w:r w:rsidR="008E687E" w:rsidRPr="00005FB6">
        <w:rPr>
          <w:sz w:val="22"/>
          <w:szCs w:val="22"/>
        </w:rPr>
        <w:t>gas, is controlled to yield the optimal flue gas</w:t>
      </w:r>
      <w:r w:rsidR="008E687E">
        <w:rPr>
          <w:sz w:val="22"/>
          <w:szCs w:val="22"/>
        </w:rPr>
        <w:t xml:space="preserve"> </w:t>
      </w:r>
      <w:r w:rsidR="008E687E" w:rsidRPr="00005FB6">
        <w:rPr>
          <w:sz w:val="22"/>
          <w:szCs w:val="22"/>
        </w:rPr>
        <w:t>composition and furnace temperature profile to minimize NO</w:t>
      </w:r>
      <w:r w:rsidR="008E687E" w:rsidRPr="00005FB6">
        <w:rPr>
          <w:sz w:val="22"/>
          <w:szCs w:val="22"/>
          <w:vertAlign w:val="subscript"/>
        </w:rPr>
        <w:t>X</w:t>
      </w:r>
      <w:r w:rsidR="008E687E">
        <w:rPr>
          <w:sz w:val="22"/>
          <w:szCs w:val="22"/>
        </w:rPr>
        <w:t xml:space="preserve"> </w:t>
      </w:r>
      <w:r w:rsidR="008E687E" w:rsidRPr="00005FB6">
        <w:rPr>
          <w:sz w:val="22"/>
          <w:szCs w:val="22"/>
        </w:rPr>
        <w:t>formation and optimize combustion.</w:t>
      </w:r>
      <w:r w:rsidR="001A480F">
        <w:rPr>
          <w:sz w:val="22"/>
          <w:szCs w:val="22"/>
        </w:rPr>
        <w:t xml:space="preserve">  HEF has proposed to build a stoker boiler but with volatilization, drying and partial combustion occurring above the grate in a manner analogous to a BFB.</w:t>
      </w:r>
    </w:p>
    <w:p w:rsidR="00A46013" w:rsidRPr="007C3E2B" w:rsidRDefault="00A46013" w:rsidP="00A46013">
      <w:pPr>
        <w:pStyle w:val="Default"/>
        <w:spacing w:after="120"/>
        <w:rPr>
          <w:sz w:val="22"/>
          <w:szCs w:val="22"/>
        </w:rPr>
      </w:pPr>
      <w:r w:rsidRPr="00455FD1">
        <w:rPr>
          <w:sz w:val="22"/>
          <w:szCs w:val="22"/>
          <w:u w:val="single"/>
        </w:rPr>
        <w:t>Add-on NO</w:t>
      </w:r>
      <w:r w:rsidRPr="00455FD1">
        <w:rPr>
          <w:sz w:val="22"/>
          <w:szCs w:val="22"/>
          <w:u w:val="single"/>
          <w:vertAlign w:val="subscript"/>
        </w:rPr>
        <w:t>X</w:t>
      </w:r>
      <w:r w:rsidRPr="00455FD1">
        <w:rPr>
          <w:sz w:val="22"/>
          <w:szCs w:val="22"/>
          <w:u w:val="single"/>
        </w:rPr>
        <w:t xml:space="preserve"> Control</w:t>
      </w:r>
      <w:r w:rsidRPr="00455FD1">
        <w:rPr>
          <w:sz w:val="22"/>
          <w:szCs w:val="22"/>
        </w:rPr>
        <w:t xml:space="preserve">.  </w:t>
      </w:r>
      <w:r>
        <w:rPr>
          <w:sz w:val="22"/>
          <w:szCs w:val="22"/>
        </w:rPr>
        <w:t>One</w:t>
      </w:r>
      <w:r w:rsidRPr="007C3E2B">
        <w:rPr>
          <w:sz w:val="22"/>
          <w:szCs w:val="22"/>
        </w:rPr>
        <w:t xml:space="preserve"> add-on </w:t>
      </w:r>
      <w:r>
        <w:rPr>
          <w:sz w:val="22"/>
          <w:szCs w:val="22"/>
        </w:rPr>
        <w:t>NO</w:t>
      </w:r>
      <w:r w:rsidRPr="000B243C">
        <w:rPr>
          <w:sz w:val="22"/>
          <w:szCs w:val="22"/>
          <w:vertAlign w:val="subscript"/>
        </w:rPr>
        <w:t>X</w:t>
      </w:r>
      <w:r>
        <w:rPr>
          <w:sz w:val="22"/>
          <w:szCs w:val="22"/>
        </w:rPr>
        <w:t xml:space="preserve"> control is </w:t>
      </w:r>
      <w:r w:rsidRPr="007C3E2B">
        <w:rPr>
          <w:sz w:val="22"/>
          <w:szCs w:val="22"/>
        </w:rPr>
        <w:t>SNCR</w:t>
      </w:r>
      <w:r>
        <w:rPr>
          <w:sz w:val="22"/>
          <w:szCs w:val="22"/>
        </w:rPr>
        <w:t>,</w:t>
      </w:r>
      <w:r w:rsidRPr="007C3E2B">
        <w:rPr>
          <w:sz w:val="22"/>
          <w:szCs w:val="22"/>
        </w:rPr>
        <w:t xml:space="preserve"> whereby NH</w:t>
      </w:r>
      <w:r w:rsidRPr="007C3E2B">
        <w:rPr>
          <w:sz w:val="22"/>
          <w:szCs w:val="22"/>
          <w:vertAlign w:val="subscript"/>
        </w:rPr>
        <w:t>3</w:t>
      </w:r>
      <w:r w:rsidRPr="007C3E2B">
        <w:rPr>
          <w:sz w:val="22"/>
          <w:szCs w:val="22"/>
        </w:rPr>
        <w:t xml:space="preserve"> or urea is injected at a point in the process characterized by a suitable temperature window between </w:t>
      </w:r>
      <w:r>
        <w:rPr>
          <w:sz w:val="22"/>
          <w:szCs w:val="22"/>
        </w:rPr>
        <w:t>about 1,500</w:t>
      </w:r>
      <w:r w:rsidRPr="007C3E2B">
        <w:rPr>
          <w:sz w:val="22"/>
          <w:szCs w:val="22"/>
        </w:rPr>
        <w:t xml:space="preserve"> and 1</w:t>
      </w:r>
      <w:r>
        <w:rPr>
          <w:sz w:val="22"/>
          <w:szCs w:val="22"/>
        </w:rPr>
        <w:t>,900</w:t>
      </w:r>
      <w:r w:rsidRPr="007C3E2B">
        <w:rPr>
          <w:sz w:val="22"/>
          <w:szCs w:val="22"/>
        </w:rPr>
        <w:t xml:space="preserve"> </w:t>
      </w:r>
      <w:r w:rsidRPr="007C3E2B">
        <w:rPr>
          <w:sz w:val="22"/>
          <w:szCs w:val="22"/>
        </w:rPr>
        <w:sym w:font="Symbol" w:char="F0B0"/>
      </w:r>
      <w:r>
        <w:rPr>
          <w:sz w:val="22"/>
          <w:szCs w:val="22"/>
        </w:rPr>
        <w:t>F</w:t>
      </w:r>
      <w:r w:rsidRPr="007C3E2B">
        <w:rPr>
          <w:sz w:val="22"/>
          <w:szCs w:val="22"/>
        </w:rPr>
        <w:t xml:space="preserve"> depending on residence time, turbulence, oxygen content, and a number of other factors specific to the given gas stream.  </w:t>
      </w:r>
      <w:r w:rsidRPr="00455FD1">
        <w:rPr>
          <w:sz w:val="22"/>
          <w:szCs w:val="22"/>
        </w:rPr>
        <w:t>The reaction products are N</w:t>
      </w:r>
      <w:r w:rsidRPr="00455FD1">
        <w:rPr>
          <w:sz w:val="22"/>
          <w:szCs w:val="22"/>
          <w:vertAlign w:val="subscript"/>
        </w:rPr>
        <w:t>2</w:t>
      </w:r>
      <w:r w:rsidRPr="00455FD1">
        <w:rPr>
          <w:sz w:val="22"/>
          <w:szCs w:val="22"/>
        </w:rPr>
        <w:t xml:space="preserve"> and water vapor (H</w:t>
      </w:r>
      <w:r w:rsidRPr="00455FD1">
        <w:rPr>
          <w:sz w:val="22"/>
          <w:szCs w:val="22"/>
          <w:vertAlign w:val="subscript"/>
        </w:rPr>
        <w:t>2</w:t>
      </w:r>
      <w:r w:rsidRPr="00455FD1">
        <w:rPr>
          <w:sz w:val="22"/>
          <w:szCs w:val="22"/>
        </w:rPr>
        <w:t xml:space="preserve">O).  </w:t>
      </w:r>
      <w:r w:rsidRPr="007C3E2B">
        <w:rPr>
          <w:sz w:val="22"/>
          <w:szCs w:val="22"/>
        </w:rPr>
        <w:t>SNCR destroys NO</w:t>
      </w:r>
      <w:r w:rsidRPr="007C3E2B">
        <w:rPr>
          <w:sz w:val="22"/>
          <w:szCs w:val="22"/>
          <w:vertAlign w:val="subscript"/>
        </w:rPr>
        <w:t>X</w:t>
      </w:r>
      <w:r w:rsidRPr="007C3E2B">
        <w:rPr>
          <w:sz w:val="22"/>
          <w:szCs w:val="22"/>
        </w:rPr>
        <w:t xml:space="preserve"> by a </w:t>
      </w:r>
      <w:r>
        <w:rPr>
          <w:sz w:val="22"/>
          <w:szCs w:val="22"/>
        </w:rPr>
        <w:t>multi-step process as which is simplified in the equations below.</w:t>
      </w:r>
    </w:p>
    <w:p w:rsidR="00A46013" w:rsidRPr="007C3E2B" w:rsidRDefault="00A46013" w:rsidP="00A46013">
      <w:pPr>
        <w:pStyle w:val="BodyText"/>
        <w:rPr>
          <w:sz w:val="22"/>
          <w:szCs w:val="22"/>
        </w:rPr>
      </w:pPr>
      <w:r>
        <w:rPr>
          <w:b/>
          <w:bCs/>
          <w:sz w:val="22"/>
          <w:szCs w:val="22"/>
        </w:rPr>
        <w:t>Equation 10</w:t>
      </w:r>
      <w:r w:rsidRPr="007C3E2B">
        <w:rPr>
          <w:b/>
          <w:bCs/>
          <w:sz w:val="22"/>
          <w:szCs w:val="22"/>
        </w:rPr>
        <w:t>.</w:t>
      </w:r>
      <w:r w:rsidRPr="007C3E2B">
        <w:rPr>
          <w:sz w:val="22"/>
          <w:szCs w:val="22"/>
        </w:rPr>
        <w:t xml:space="preserve">  </w:t>
      </w:r>
      <w:r>
        <w:rPr>
          <w:sz w:val="22"/>
          <w:szCs w:val="22"/>
        </w:rPr>
        <w:t>NH</w:t>
      </w:r>
      <w:r w:rsidRPr="000B243C">
        <w:rPr>
          <w:sz w:val="22"/>
          <w:szCs w:val="22"/>
          <w:vertAlign w:val="subscript"/>
        </w:rPr>
        <w:t>3</w:t>
      </w:r>
      <w:r w:rsidRPr="007C3E2B">
        <w:rPr>
          <w:sz w:val="22"/>
          <w:szCs w:val="22"/>
        </w:rPr>
        <w:t xml:space="preserve"> reacts with available hydroxyl radicals </w:t>
      </w:r>
      <w:r>
        <w:rPr>
          <w:sz w:val="22"/>
          <w:szCs w:val="22"/>
        </w:rPr>
        <w:t xml:space="preserve">(OH*) </w:t>
      </w:r>
      <w:r w:rsidRPr="007C3E2B">
        <w:rPr>
          <w:sz w:val="22"/>
          <w:szCs w:val="22"/>
        </w:rPr>
        <w:t xml:space="preserve">to form amine radicals </w:t>
      </w:r>
      <w:r>
        <w:rPr>
          <w:sz w:val="22"/>
          <w:szCs w:val="22"/>
        </w:rPr>
        <w:t>(NH</w:t>
      </w:r>
      <w:r w:rsidRPr="000B243C">
        <w:rPr>
          <w:sz w:val="22"/>
          <w:szCs w:val="22"/>
          <w:vertAlign w:val="subscript"/>
        </w:rPr>
        <w:t>2</w:t>
      </w:r>
      <w:r>
        <w:rPr>
          <w:sz w:val="22"/>
          <w:szCs w:val="22"/>
        </w:rPr>
        <w:t xml:space="preserve">*) </w:t>
      </w:r>
      <w:r w:rsidRPr="007C3E2B">
        <w:rPr>
          <w:sz w:val="22"/>
          <w:szCs w:val="22"/>
        </w:rPr>
        <w:t>and water per the following theoretical equation:</w:t>
      </w:r>
    </w:p>
    <w:p w:rsidR="00A46013" w:rsidRDefault="00A46013" w:rsidP="00A46013">
      <w:pPr>
        <w:pStyle w:val="BodyText"/>
        <w:tabs>
          <w:tab w:val="right" w:pos="9000"/>
        </w:tabs>
        <w:rPr>
          <w:sz w:val="22"/>
          <w:szCs w:val="22"/>
        </w:rPr>
      </w:pPr>
      <w:r w:rsidRPr="007C3E2B">
        <w:rPr>
          <w:position w:val="-12"/>
          <w:sz w:val="22"/>
          <w:szCs w:val="22"/>
        </w:rPr>
        <w:object w:dxaOrig="2860" w:dyaOrig="360">
          <v:shape id="_x0000_i1034" type="#_x0000_t75" style="width:145.45pt;height:19.5pt" o:ole="">
            <v:imagedata r:id="rId36" o:title=""/>
          </v:shape>
          <o:OLEObject Type="Embed" ProgID="Equation.3" ShapeID="_x0000_i1034" DrawAspect="Content" ObjectID="_1561370966" r:id="rId37"/>
        </w:object>
      </w:r>
      <w:r>
        <w:rPr>
          <w:sz w:val="22"/>
          <w:szCs w:val="22"/>
        </w:rPr>
        <w:tab/>
        <w:t>Eq. 10</w:t>
      </w:r>
    </w:p>
    <w:p w:rsidR="00A46013" w:rsidRPr="007C3E2B" w:rsidRDefault="00A46013" w:rsidP="00A46013">
      <w:pPr>
        <w:pStyle w:val="BodyText"/>
        <w:rPr>
          <w:sz w:val="22"/>
          <w:szCs w:val="22"/>
        </w:rPr>
      </w:pPr>
      <w:r>
        <w:rPr>
          <w:b/>
          <w:bCs/>
          <w:sz w:val="22"/>
          <w:szCs w:val="22"/>
        </w:rPr>
        <w:t>Equation 11</w:t>
      </w:r>
      <w:r w:rsidRPr="007C3E2B">
        <w:rPr>
          <w:b/>
          <w:bCs/>
          <w:sz w:val="22"/>
          <w:szCs w:val="22"/>
        </w:rPr>
        <w:t>.</w:t>
      </w:r>
      <w:r w:rsidRPr="007C3E2B">
        <w:rPr>
          <w:sz w:val="22"/>
          <w:szCs w:val="22"/>
        </w:rPr>
        <w:t xml:space="preserve">  Amine radicals combine with </w:t>
      </w:r>
      <w:r>
        <w:rPr>
          <w:sz w:val="22"/>
          <w:szCs w:val="22"/>
        </w:rPr>
        <w:t xml:space="preserve">NO </w:t>
      </w:r>
      <w:r w:rsidRPr="007C3E2B">
        <w:rPr>
          <w:sz w:val="22"/>
          <w:szCs w:val="22"/>
        </w:rPr>
        <w:t>to form nitrogen and water</w:t>
      </w:r>
      <w:r>
        <w:rPr>
          <w:sz w:val="22"/>
          <w:szCs w:val="22"/>
        </w:rPr>
        <w:t xml:space="preserve"> as follows:</w:t>
      </w:r>
    </w:p>
    <w:p w:rsidR="00A46013" w:rsidRPr="007C3E2B" w:rsidRDefault="00A46013" w:rsidP="00A46013">
      <w:pPr>
        <w:pStyle w:val="BodyText"/>
        <w:tabs>
          <w:tab w:val="right" w:pos="9000"/>
        </w:tabs>
        <w:rPr>
          <w:bCs/>
          <w:sz w:val="22"/>
          <w:szCs w:val="22"/>
        </w:rPr>
      </w:pPr>
      <w:r w:rsidRPr="007C3E2B">
        <w:rPr>
          <w:b/>
          <w:bCs/>
          <w:position w:val="-10"/>
          <w:sz w:val="22"/>
          <w:szCs w:val="22"/>
        </w:rPr>
        <w:object w:dxaOrig="2560" w:dyaOrig="340">
          <v:shape id="_x0000_i1035" type="#_x0000_t75" style="width:130.55pt;height:19.5pt" o:ole="">
            <v:imagedata r:id="rId38" o:title=""/>
          </v:shape>
          <o:OLEObject Type="Embed" ProgID="Equation.3" ShapeID="_x0000_i1035" DrawAspect="Content" ObjectID="_1561370967" r:id="rId39"/>
        </w:object>
      </w:r>
      <w:r>
        <w:rPr>
          <w:b/>
          <w:bCs/>
          <w:sz w:val="22"/>
          <w:szCs w:val="22"/>
        </w:rPr>
        <w:tab/>
      </w:r>
      <w:r w:rsidRPr="007C3E2B">
        <w:rPr>
          <w:bCs/>
          <w:sz w:val="22"/>
          <w:szCs w:val="22"/>
        </w:rPr>
        <w:t>Eq. 11</w:t>
      </w:r>
    </w:p>
    <w:p w:rsidR="00A46013" w:rsidRPr="00DF645D" w:rsidRDefault="00A46013" w:rsidP="00A46013">
      <w:pPr>
        <w:pStyle w:val="BodyText"/>
        <w:rPr>
          <w:sz w:val="22"/>
          <w:szCs w:val="22"/>
        </w:rPr>
      </w:pPr>
      <w:r w:rsidRPr="00DF645D">
        <w:rPr>
          <w:b/>
          <w:bCs/>
          <w:sz w:val="22"/>
          <w:szCs w:val="22"/>
        </w:rPr>
        <w:t>Equation 12.</w:t>
      </w:r>
      <w:r w:rsidRPr="00DF645D">
        <w:rPr>
          <w:sz w:val="22"/>
          <w:szCs w:val="22"/>
        </w:rPr>
        <w:t xml:space="preserve">  The two steps are typically expressed as a single “global reaction”.</w:t>
      </w:r>
    </w:p>
    <w:p w:rsidR="00A46013" w:rsidRPr="00DF645D" w:rsidRDefault="00A46013" w:rsidP="00A46013">
      <w:pPr>
        <w:pStyle w:val="BodyText"/>
        <w:tabs>
          <w:tab w:val="right" w:pos="9000"/>
        </w:tabs>
        <w:rPr>
          <w:sz w:val="22"/>
          <w:szCs w:val="22"/>
        </w:rPr>
      </w:pPr>
      <w:r w:rsidRPr="00DF645D">
        <w:rPr>
          <w:position w:val="-12"/>
          <w:sz w:val="22"/>
          <w:szCs w:val="22"/>
        </w:rPr>
        <w:object w:dxaOrig="3440" w:dyaOrig="360">
          <v:shape id="_x0000_i1036" type="#_x0000_t75" style="width:178.55pt;height:19.5pt" o:ole="">
            <v:imagedata r:id="rId40" o:title=""/>
          </v:shape>
          <o:OLEObject Type="Embed" ProgID="Equation.3" ShapeID="_x0000_i1036" DrawAspect="Content" ObjectID="_1561370968" r:id="rId41"/>
        </w:object>
      </w:r>
      <w:r w:rsidRPr="00DF645D">
        <w:rPr>
          <w:sz w:val="22"/>
          <w:szCs w:val="22"/>
        </w:rPr>
        <w:tab/>
        <w:t>Eq. 12</w:t>
      </w:r>
    </w:p>
    <w:p w:rsidR="00A46013" w:rsidRPr="00DF645D" w:rsidRDefault="00A46013" w:rsidP="00A46013">
      <w:pPr>
        <w:pStyle w:val="BodyText"/>
        <w:rPr>
          <w:sz w:val="22"/>
          <w:szCs w:val="22"/>
        </w:rPr>
      </w:pPr>
      <w:r w:rsidRPr="00DF645D">
        <w:rPr>
          <w:sz w:val="22"/>
          <w:szCs w:val="22"/>
        </w:rPr>
        <w:t xml:space="preserve">Similar </w:t>
      </w:r>
      <w:r>
        <w:rPr>
          <w:sz w:val="22"/>
          <w:szCs w:val="22"/>
        </w:rPr>
        <w:t xml:space="preserve">simplified </w:t>
      </w:r>
      <w:r w:rsidRPr="00DF645D">
        <w:rPr>
          <w:sz w:val="22"/>
          <w:szCs w:val="22"/>
        </w:rPr>
        <w:t>reactions describe the destruction of NO</w:t>
      </w:r>
      <w:r w:rsidRPr="00DF645D">
        <w:rPr>
          <w:sz w:val="22"/>
          <w:szCs w:val="22"/>
          <w:vertAlign w:val="subscript"/>
        </w:rPr>
        <w:t>2</w:t>
      </w:r>
      <w:r>
        <w:rPr>
          <w:sz w:val="22"/>
          <w:szCs w:val="22"/>
        </w:rPr>
        <w:t xml:space="preserve">, which is present in much less concentrations than NO. </w:t>
      </w:r>
      <w:r w:rsidRPr="00DF645D">
        <w:rPr>
          <w:sz w:val="22"/>
          <w:szCs w:val="22"/>
        </w:rPr>
        <w:t xml:space="preserve"> One drawback with SNCR is that some of the NH</w:t>
      </w:r>
      <w:r w:rsidRPr="00DF645D">
        <w:rPr>
          <w:sz w:val="22"/>
          <w:szCs w:val="22"/>
          <w:vertAlign w:val="subscript"/>
        </w:rPr>
        <w:t>3</w:t>
      </w:r>
      <w:r w:rsidRPr="00DF645D">
        <w:rPr>
          <w:sz w:val="22"/>
          <w:szCs w:val="22"/>
        </w:rPr>
        <w:t xml:space="preserve"> can be converted to NO</w:t>
      </w:r>
      <w:r w:rsidRPr="00DF645D">
        <w:rPr>
          <w:sz w:val="22"/>
          <w:szCs w:val="22"/>
          <w:vertAlign w:val="subscript"/>
        </w:rPr>
        <w:t>X</w:t>
      </w:r>
      <w:r w:rsidRPr="00DF645D">
        <w:rPr>
          <w:sz w:val="22"/>
          <w:szCs w:val="22"/>
        </w:rPr>
        <w:t xml:space="preserve"> and excessive NH</w:t>
      </w:r>
      <w:r w:rsidRPr="00DF645D">
        <w:rPr>
          <w:sz w:val="22"/>
          <w:szCs w:val="22"/>
          <w:vertAlign w:val="subscript"/>
        </w:rPr>
        <w:t>3</w:t>
      </w:r>
      <w:r w:rsidRPr="00DF645D">
        <w:rPr>
          <w:sz w:val="22"/>
          <w:szCs w:val="22"/>
        </w:rPr>
        <w:t xml:space="preserve"> injection is occasionally required to effect good reduction.  Excess NH</w:t>
      </w:r>
      <w:r w:rsidRPr="00DF645D">
        <w:rPr>
          <w:sz w:val="22"/>
          <w:szCs w:val="22"/>
          <w:vertAlign w:val="subscript"/>
        </w:rPr>
        <w:t>3</w:t>
      </w:r>
      <w:r w:rsidRPr="00DF645D">
        <w:rPr>
          <w:sz w:val="22"/>
          <w:szCs w:val="22"/>
        </w:rPr>
        <w:t xml:space="preserve"> (called slip) can combine with chloride and sulfate species in the exhaust and cause visible emissions.  Additionally good CO control is necessary when employing SNCR due to interference with the reaction as described.</w:t>
      </w:r>
    </w:p>
    <w:p w:rsidR="00A46013" w:rsidRPr="00DF645D" w:rsidRDefault="00A46013" w:rsidP="00A46013">
      <w:pPr>
        <w:pStyle w:val="BodyText"/>
        <w:rPr>
          <w:sz w:val="22"/>
          <w:szCs w:val="22"/>
        </w:rPr>
      </w:pPr>
      <w:r w:rsidRPr="00DF645D">
        <w:rPr>
          <w:b/>
          <w:sz w:val="22"/>
          <w:szCs w:val="22"/>
        </w:rPr>
        <w:t>Equation 13.</w:t>
      </w:r>
      <w:r w:rsidRPr="00DF645D">
        <w:rPr>
          <w:sz w:val="22"/>
          <w:szCs w:val="22"/>
        </w:rPr>
        <w:t xml:space="preserve">  CO competes with NH</w:t>
      </w:r>
      <w:r w:rsidRPr="00DF645D">
        <w:rPr>
          <w:sz w:val="22"/>
          <w:szCs w:val="22"/>
          <w:vertAlign w:val="subscript"/>
        </w:rPr>
        <w:t>3</w:t>
      </w:r>
      <w:r w:rsidRPr="00DF645D">
        <w:rPr>
          <w:sz w:val="22"/>
          <w:szCs w:val="22"/>
        </w:rPr>
        <w:t xml:space="preserve"> for available OH radicals needed to effect Eq. 10.</w:t>
      </w:r>
    </w:p>
    <w:p w:rsidR="00A46013" w:rsidRPr="00DF645D" w:rsidRDefault="00A46013" w:rsidP="00A46013">
      <w:pPr>
        <w:pStyle w:val="BodyText"/>
        <w:tabs>
          <w:tab w:val="right" w:pos="9000"/>
        </w:tabs>
        <w:rPr>
          <w:sz w:val="22"/>
          <w:szCs w:val="22"/>
        </w:rPr>
      </w:pPr>
      <w:r w:rsidRPr="00DF645D">
        <w:rPr>
          <w:position w:val="-10"/>
          <w:sz w:val="22"/>
          <w:szCs w:val="22"/>
        </w:rPr>
        <w:object w:dxaOrig="2480" w:dyaOrig="340">
          <v:shape id="_x0000_i1037" type="#_x0000_t75" style="width:124.5pt;height:19.5pt" o:ole="">
            <v:imagedata r:id="rId42" o:title=""/>
          </v:shape>
          <o:OLEObject Type="Embed" ProgID="Equation.3" ShapeID="_x0000_i1037" DrawAspect="Content" ObjectID="_1561370969" r:id="rId43"/>
        </w:object>
      </w:r>
      <w:r>
        <w:rPr>
          <w:sz w:val="22"/>
          <w:szCs w:val="22"/>
        </w:rPr>
        <w:tab/>
        <w:t>Eq. 13</w:t>
      </w:r>
    </w:p>
    <w:p w:rsidR="00A46013" w:rsidRDefault="00A46013" w:rsidP="00A46013">
      <w:pPr>
        <w:pStyle w:val="Default"/>
        <w:spacing w:after="120"/>
        <w:rPr>
          <w:sz w:val="22"/>
          <w:szCs w:val="22"/>
        </w:rPr>
      </w:pPr>
      <w:r>
        <w:rPr>
          <w:sz w:val="22"/>
          <w:szCs w:val="22"/>
        </w:rPr>
        <w:t>In the case of selective catalytic reduction (SCR) technology, the NH</w:t>
      </w:r>
      <w:r w:rsidRPr="00BF7CCF">
        <w:rPr>
          <w:sz w:val="22"/>
          <w:szCs w:val="22"/>
          <w:vertAlign w:val="subscript"/>
        </w:rPr>
        <w:t>3</w:t>
      </w:r>
      <w:r>
        <w:rPr>
          <w:sz w:val="22"/>
          <w:szCs w:val="22"/>
        </w:rPr>
        <w:t xml:space="preserve"> is injected in the presence of catalyst and at a lower temperature than encountered in the furnace.  The reactions are more complete and efficient and NH</w:t>
      </w:r>
      <w:r w:rsidRPr="00BF7CCF">
        <w:rPr>
          <w:sz w:val="22"/>
          <w:szCs w:val="22"/>
          <w:vertAlign w:val="subscript"/>
        </w:rPr>
        <w:t>3</w:t>
      </w:r>
      <w:r>
        <w:rPr>
          <w:sz w:val="22"/>
          <w:szCs w:val="22"/>
        </w:rPr>
        <w:t xml:space="preserve"> slip is minimized.  When an SCR is located downstream of other control devices, it is </w:t>
      </w:r>
      <w:r w:rsidR="0085293A">
        <w:rPr>
          <w:sz w:val="22"/>
          <w:szCs w:val="22"/>
        </w:rPr>
        <w:t xml:space="preserve">sometimes </w:t>
      </w:r>
      <w:r>
        <w:rPr>
          <w:sz w:val="22"/>
          <w:szCs w:val="22"/>
        </w:rPr>
        <w:t>necessary to heat the exhaust stream to the appropriate temperature range for effective operation.</w:t>
      </w:r>
    </w:p>
    <w:p w:rsidR="0085293A" w:rsidRDefault="0085293A" w:rsidP="0085293A">
      <w:pPr>
        <w:autoSpaceDE w:val="0"/>
        <w:autoSpaceDN w:val="0"/>
        <w:adjustRightInd w:val="0"/>
        <w:spacing w:after="120"/>
        <w:rPr>
          <w:sz w:val="22"/>
          <w:szCs w:val="22"/>
        </w:rPr>
      </w:pPr>
      <w:r>
        <w:rPr>
          <w:sz w:val="22"/>
          <w:szCs w:val="22"/>
        </w:rPr>
        <w:t xml:space="preserve">A variation of clean-side SCR called regenerative SCR (RSCR) was developed by Babcock Power, Inc. (BPI) for the purpose of optimizing the efficiency and reducing the cost of such reheat.  Ox-cat is usually part of the RSCR package.  </w:t>
      </w:r>
    </w:p>
    <w:p w:rsidR="0085293A" w:rsidRPr="002F20F8" w:rsidRDefault="0085293A" w:rsidP="0085293A">
      <w:pPr>
        <w:autoSpaceDE w:val="0"/>
        <w:autoSpaceDN w:val="0"/>
        <w:adjustRightInd w:val="0"/>
        <w:spacing w:after="120"/>
        <w:rPr>
          <w:sz w:val="22"/>
          <w:szCs w:val="22"/>
        </w:rPr>
      </w:pPr>
      <w:r w:rsidRPr="002F20F8">
        <w:rPr>
          <w:sz w:val="22"/>
          <w:szCs w:val="22"/>
        </w:rPr>
        <w:t xml:space="preserve">Basically a relatively cool exhaust stream is heated by passing through preheated thermal media (Cycle 1) called a heat recovery bed before passing through the SCR catalyst at a moderate temperature.  The exhaust gas is then slightly heated by a gas-fueled duct burner.  The higher heat of the exhaust gas is then imparted to a second thermal media bed.  Eventually the second bed reaches a greater temperature than the first and the flow through the RSCR unit is reversed as shown in Cycle 2.  </w:t>
      </w:r>
    </w:p>
    <w:p w:rsidR="0085293A" w:rsidRDefault="00BA63D4" w:rsidP="0085293A">
      <w:pPr>
        <w:autoSpaceDE w:val="0"/>
        <w:autoSpaceDN w:val="0"/>
        <w:adjustRightInd w:val="0"/>
        <w:spacing w:after="120"/>
        <w:rPr>
          <w:sz w:val="22"/>
          <w:szCs w:val="22"/>
        </w:rPr>
      </w:pPr>
      <w:r>
        <w:rPr>
          <w:sz w:val="22"/>
          <w:szCs w:val="22"/>
        </w:rPr>
        <w:t>T</w:t>
      </w:r>
      <w:r w:rsidR="0085293A">
        <w:rPr>
          <w:sz w:val="22"/>
          <w:szCs w:val="22"/>
        </w:rPr>
        <w:t xml:space="preserve">he RSCR unit is </w:t>
      </w:r>
      <w:r>
        <w:rPr>
          <w:sz w:val="22"/>
          <w:szCs w:val="22"/>
        </w:rPr>
        <w:t>essentially</w:t>
      </w:r>
      <w:r w:rsidR="0085293A">
        <w:rPr>
          <w:sz w:val="22"/>
          <w:szCs w:val="22"/>
        </w:rPr>
        <w:t xml:space="preserve"> heat engine that operates at a moderate temperature while using and expelling low temperature exhaust gas.  Thermodynamic losses to the environment are minimized by their arrangement.  According to BPI, the RSCR system results in a net increase (system inlet to system outlet) of only 7 </w:t>
      </w:r>
      <w:r w:rsidR="0085293A" w:rsidRPr="007E0960">
        <w:rPr>
          <w:szCs w:val="22"/>
        </w:rPr>
        <w:t>°</w:t>
      </w:r>
      <w:r w:rsidR="0085293A" w:rsidRPr="007E0960">
        <w:rPr>
          <w:sz w:val="22"/>
          <w:szCs w:val="22"/>
        </w:rPr>
        <w:t>F</w:t>
      </w:r>
      <w:r w:rsidR="0085293A">
        <w:rPr>
          <w:sz w:val="22"/>
          <w:szCs w:val="22"/>
        </w:rPr>
        <w:t xml:space="preserve"> compared with 50 to 75 </w:t>
      </w:r>
      <w:r w:rsidR="0085293A" w:rsidRPr="007E0960">
        <w:rPr>
          <w:szCs w:val="22"/>
        </w:rPr>
        <w:t>°</w:t>
      </w:r>
      <w:r w:rsidR="0085293A" w:rsidRPr="007E0960">
        <w:rPr>
          <w:sz w:val="22"/>
          <w:szCs w:val="22"/>
        </w:rPr>
        <w:t>F</w:t>
      </w:r>
      <w:r w:rsidR="0085293A">
        <w:rPr>
          <w:sz w:val="22"/>
          <w:szCs w:val="22"/>
        </w:rPr>
        <w:t xml:space="preserve"> for more typical heat exchanger arrangements.</w:t>
      </w:r>
    </w:p>
    <w:p w:rsidR="0085293A" w:rsidRPr="0085293A" w:rsidRDefault="0085293A" w:rsidP="0085293A">
      <w:pPr>
        <w:autoSpaceDE w:val="0"/>
        <w:autoSpaceDN w:val="0"/>
        <w:adjustRightInd w:val="0"/>
        <w:spacing w:after="120"/>
        <w:rPr>
          <w:rFonts w:ascii="TimesNewRoman" w:hAnsi="TimesNewRoman" w:cs="TimesNewRoman"/>
          <w:sz w:val="22"/>
          <w:szCs w:val="22"/>
        </w:rPr>
      </w:pPr>
      <w:r>
        <w:rPr>
          <w:sz w:val="22"/>
          <w:szCs w:val="22"/>
        </w:rPr>
        <w:t xml:space="preserve">One practical benefit of a cool SCR arrangement such as RSCR is that the air can be located right after the economizer.  This reduces the actual temperature and volumetric flow rate of gas through the control equipment.  </w:t>
      </w:r>
      <w:r w:rsidRPr="00DE3669">
        <w:rPr>
          <w:rFonts w:ascii="TimesNewRoman" w:hAnsi="TimesNewRoman" w:cs="TimesNewRoman"/>
          <w:sz w:val="22"/>
          <w:szCs w:val="22"/>
        </w:rPr>
        <w:t>RSCR systems have been retrofitted downstream of PM control devices at f</w:t>
      </w:r>
      <w:r>
        <w:rPr>
          <w:rFonts w:ascii="TimesNewRoman" w:hAnsi="TimesNewRoman" w:cs="TimesNewRoman"/>
          <w:sz w:val="22"/>
          <w:szCs w:val="22"/>
        </w:rPr>
        <w:t>our</w:t>
      </w:r>
      <w:r w:rsidRPr="00DE3669">
        <w:rPr>
          <w:rFonts w:ascii="TimesNewRoman" w:hAnsi="TimesNewRoman" w:cs="TimesNewRoman"/>
          <w:sz w:val="22"/>
          <w:szCs w:val="22"/>
        </w:rPr>
        <w:t xml:space="preserve"> existing biomass power plants in Maine (</w:t>
      </w:r>
      <w:proofErr w:type="spellStart"/>
      <w:r w:rsidRPr="00DE3669">
        <w:rPr>
          <w:rFonts w:ascii="TimesNewRoman" w:hAnsi="TimesNewRoman" w:cs="TimesNewRoman"/>
          <w:sz w:val="22"/>
          <w:szCs w:val="22"/>
        </w:rPr>
        <w:t>Boral</w:t>
      </w:r>
      <w:r>
        <w:rPr>
          <w:rFonts w:ascii="TimesNewRoman" w:hAnsi="TimesNewRoman" w:cs="TimesNewRoman"/>
          <w:sz w:val="22"/>
          <w:szCs w:val="22"/>
        </w:rPr>
        <w:t>e</w:t>
      </w:r>
      <w:r w:rsidRPr="00DE3669">
        <w:rPr>
          <w:rFonts w:ascii="TimesNewRoman" w:hAnsi="TimesNewRoman" w:cs="TimesNewRoman"/>
          <w:sz w:val="22"/>
          <w:szCs w:val="22"/>
        </w:rPr>
        <w:t>x</w:t>
      </w:r>
      <w:proofErr w:type="spellEnd"/>
      <w:r w:rsidRPr="00DE3669">
        <w:rPr>
          <w:rFonts w:ascii="TimesNewRoman" w:hAnsi="TimesNewRoman" w:cs="TimesNewRoman"/>
          <w:sz w:val="22"/>
          <w:szCs w:val="22"/>
        </w:rPr>
        <w:t xml:space="preserve"> Stratton and </w:t>
      </w:r>
      <w:proofErr w:type="spellStart"/>
      <w:r w:rsidRPr="00DE3669">
        <w:rPr>
          <w:rFonts w:ascii="TimesNewRoman" w:hAnsi="TimesNewRoman" w:cs="TimesNewRoman"/>
          <w:sz w:val="22"/>
          <w:szCs w:val="22"/>
        </w:rPr>
        <w:t>Boralex</w:t>
      </w:r>
      <w:proofErr w:type="spellEnd"/>
      <w:r w:rsidRPr="00DE3669">
        <w:rPr>
          <w:rFonts w:ascii="TimesNewRoman" w:hAnsi="TimesNewRoman" w:cs="TimesNewRoman"/>
          <w:sz w:val="22"/>
          <w:szCs w:val="22"/>
        </w:rPr>
        <w:t xml:space="preserve"> Fort Fairfield)</w:t>
      </w:r>
      <w:r>
        <w:rPr>
          <w:rFonts w:ascii="TimesNewRoman" w:hAnsi="TimesNewRoman" w:cs="TimesNewRoman"/>
          <w:sz w:val="22"/>
          <w:szCs w:val="22"/>
        </w:rPr>
        <w:t xml:space="preserve"> and</w:t>
      </w:r>
      <w:r w:rsidRPr="00DE3669">
        <w:rPr>
          <w:rFonts w:ascii="TimesNewRoman" w:hAnsi="TimesNewRoman" w:cs="TimesNewRoman"/>
          <w:sz w:val="22"/>
          <w:szCs w:val="22"/>
        </w:rPr>
        <w:t xml:space="preserve"> New Hampshire (Whitefield Power and Bridgewater Power)</w:t>
      </w:r>
      <w:r>
        <w:rPr>
          <w:rFonts w:ascii="TimesNewRoman" w:hAnsi="TimesNewRoman" w:cs="TimesNewRoman"/>
          <w:sz w:val="22"/>
          <w:szCs w:val="22"/>
        </w:rPr>
        <w:t xml:space="preserve">.  RSCR was also installed at a facility in Vermont </w:t>
      </w:r>
      <w:r w:rsidRPr="00DE3669">
        <w:rPr>
          <w:rFonts w:ascii="TimesNewRoman" w:hAnsi="TimesNewRoman" w:cs="TimesNewRoman"/>
          <w:sz w:val="22"/>
          <w:szCs w:val="22"/>
        </w:rPr>
        <w:t>(McNeil Burlington).</w:t>
      </w:r>
      <w:r>
        <w:rPr>
          <w:rFonts w:ascii="TimesNewRoman" w:hAnsi="TimesNewRoman" w:cs="TimesNewRoman"/>
          <w:sz w:val="22"/>
          <w:szCs w:val="22"/>
        </w:rPr>
        <w:t xml:space="preserve">  </w:t>
      </w:r>
      <w:r>
        <w:rPr>
          <w:sz w:val="22"/>
          <w:szCs w:val="22"/>
        </w:rPr>
        <w:t xml:space="preserve">In addition to retrofits, RSCR has been specified for several proposed biomass and WTE projects including the small (38 MW) Palmer Energy biomass project in Massachusetts and the larger Fairfield WTE facility in Maryland.  RSCR is often the benchmark against which costs and controls for new projects are weighed.  </w:t>
      </w:r>
    </w:p>
    <w:p w:rsidR="0005256D" w:rsidRDefault="0085293A" w:rsidP="0021017D">
      <w:pPr>
        <w:pStyle w:val="Default"/>
        <w:spacing w:after="120"/>
        <w:rPr>
          <w:sz w:val="22"/>
          <w:szCs w:val="22"/>
        </w:rPr>
      </w:pPr>
      <w:r>
        <w:rPr>
          <w:sz w:val="22"/>
          <w:szCs w:val="22"/>
        </w:rPr>
        <w:t>Despite perceptions to the contrary, application of SCR downstream of a low temperature PM control device do not necessarily require reheating of the exhaust gases prior to the SCR unit.  CRI Catalyst (Shell Group) has for years provided low temperature SCR catalyst for use in combustion sources at chemical and refining plants as well as gas turbines and waste-to-energy plants.  The possibility of low temperature SCR without reheat has been confirmed by the Department’s inquiries regarding the operation of at least two of the RSCR installations in New England.  According to discussions with the operator at Whitefield Power, NH, the duct burners are not actually used although the NO</w:t>
      </w:r>
      <w:r w:rsidRPr="00903C62">
        <w:rPr>
          <w:sz w:val="22"/>
          <w:szCs w:val="22"/>
          <w:vertAlign w:val="subscript"/>
        </w:rPr>
        <w:t>X</w:t>
      </w:r>
      <w:r>
        <w:rPr>
          <w:sz w:val="22"/>
          <w:szCs w:val="22"/>
        </w:rPr>
        <w:t xml:space="preserve"> limit is continuously achieved.  Operators at the Bridgewater Power, NH</w:t>
      </w:r>
      <w:r w:rsidR="00A26278">
        <w:rPr>
          <w:sz w:val="22"/>
          <w:szCs w:val="22"/>
        </w:rPr>
        <w:t>,</w:t>
      </w:r>
      <w:r>
        <w:rPr>
          <w:sz w:val="22"/>
          <w:szCs w:val="22"/>
        </w:rPr>
        <w:t xml:space="preserve"> facility has made the same determination and this finding has been documented in a permit modification that provides for a lower minimum operating temperature for the RSCR system.</w:t>
      </w:r>
    </w:p>
    <w:p w:rsidR="00BD2598" w:rsidRPr="0021017D" w:rsidRDefault="00BD2598" w:rsidP="0021017D">
      <w:pPr>
        <w:pStyle w:val="Default"/>
        <w:spacing w:after="120"/>
        <w:rPr>
          <w:sz w:val="22"/>
          <w:szCs w:val="22"/>
        </w:rPr>
      </w:pPr>
      <w:r>
        <w:rPr>
          <w:sz w:val="22"/>
          <w:szCs w:val="22"/>
        </w:rPr>
        <w:t>Under NSPS Subpart Db, the boiler will be subject to a limit of 0.20 lb NOx per MMBtu, on a 30-day rolling average basis, including all periods of operation.  Compliance with this limit is to be demonstrated by CEMS.</w:t>
      </w:r>
    </w:p>
    <w:p w:rsidR="00190881" w:rsidRPr="00155062" w:rsidRDefault="00190881" w:rsidP="002863DB">
      <w:pPr>
        <w:pStyle w:val="ListParagraph"/>
        <w:widowControl w:val="0"/>
        <w:numPr>
          <w:ilvl w:val="2"/>
          <w:numId w:val="15"/>
        </w:numPr>
        <w:spacing w:after="120"/>
        <w:ind w:left="720" w:hanging="720"/>
        <w:jc w:val="both"/>
        <w:rPr>
          <w:sz w:val="22"/>
          <w:szCs w:val="22"/>
          <w:u w:val="single"/>
        </w:rPr>
      </w:pPr>
      <w:r w:rsidRPr="00155062">
        <w:rPr>
          <w:sz w:val="22"/>
          <w:szCs w:val="22"/>
          <w:u w:val="single"/>
        </w:rPr>
        <w:t>Applicant’s Proposal</w:t>
      </w:r>
    </w:p>
    <w:p w:rsidR="00BA63D4" w:rsidRDefault="0021017D" w:rsidP="0021017D">
      <w:pPr>
        <w:widowControl w:val="0"/>
        <w:spacing w:after="120"/>
        <w:rPr>
          <w:color w:val="000000" w:themeColor="text1"/>
          <w:sz w:val="22"/>
          <w:szCs w:val="22"/>
        </w:rPr>
      </w:pPr>
      <w:r>
        <w:rPr>
          <w:sz w:val="22"/>
          <w:szCs w:val="22"/>
        </w:rPr>
        <w:t>T</w:t>
      </w:r>
      <w:r w:rsidRPr="00446C22">
        <w:rPr>
          <w:color w:val="000000" w:themeColor="text1"/>
          <w:sz w:val="22"/>
          <w:szCs w:val="22"/>
        </w:rPr>
        <w:t xml:space="preserve">he applicant’s BACT proposal </w:t>
      </w:r>
      <w:r>
        <w:rPr>
          <w:color w:val="000000" w:themeColor="text1"/>
          <w:sz w:val="22"/>
          <w:szCs w:val="22"/>
        </w:rPr>
        <w:t>is 0.10</w:t>
      </w:r>
      <w:r w:rsidRPr="00446C22">
        <w:rPr>
          <w:color w:val="000000" w:themeColor="text1"/>
          <w:sz w:val="22"/>
          <w:szCs w:val="22"/>
        </w:rPr>
        <w:t xml:space="preserve"> lb/</w:t>
      </w:r>
      <w:r>
        <w:rPr>
          <w:color w:val="000000" w:themeColor="text1"/>
          <w:sz w:val="22"/>
          <w:szCs w:val="22"/>
        </w:rPr>
        <w:t>MM</w:t>
      </w:r>
      <w:r w:rsidRPr="00446C22">
        <w:rPr>
          <w:color w:val="000000" w:themeColor="text1"/>
          <w:sz w:val="22"/>
          <w:szCs w:val="22"/>
        </w:rPr>
        <w:t>Btu on a 30-day rolling basis</w:t>
      </w:r>
      <w:r>
        <w:rPr>
          <w:color w:val="000000" w:themeColor="text1"/>
          <w:sz w:val="22"/>
          <w:szCs w:val="22"/>
        </w:rPr>
        <w:t xml:space="preserve"> based on selection of a </w:t>
      </w:r>
      <w:r w:rsidR="00C87937">
        <w:rPr>
          <w:color w:val="000000" w:themeColor="text1"/>
          <w:sz w:val="22"/>
          <w:szCs w:val="22"/>
        </w:rPr>
        <w:t xml:space="preserve">hybrid </w:t>
      </w:r>
      <w:r w:rsidR="00C87937">
        <w:rPr>
          <w:color w:val="000000" w:themeColor="text1"/>
          <w:sz w:val="22"/>
          <w:szCs w:val="22"/>
        </w:rPr>
        <w:lastRenderedPageBreak/>
        <w:t>suspension/grate</w:t>
      </w:r>
      <w:r>
        <w:rPr>
          <w:color w:val="000000" w:themeColor="text1"/>
          <w:sz w:val="22"/>
          <w:szCs w:val="22"/>
        </w:rPr>
        <w:t xml:space="preserve"> boiler and incorporation of GCP and SNCR.  </w:t>
      </w:r>
      <w:r w:rsidR="00967661">
        <w:rPr>
          <w:color w:val="000000" w:themeColor="text1"/>
          <w:sz w:val="22"/>
          <w:szCs w:val="22"/>
        </w:rPr>
        <w:t xml:space="preserve">This limit would </w:t>
      </w:r>
      <w:r w:rsidR="004769E4">
        <w:rPr>
          <w:color w:val="000000" w:themeColor="text1"/>
          <w:sz w:val="22"/>
          <w:szCs w:val="22"/>
        </w:rPr>
        <w:t>not apply during periods of startup and shutdown</w:t>
      </w:r>
      <w:r w:rsidR="00967661">
        <w:rPr>
          <w:color w:val="000000" w:themeColor="text1"/>
          <w:sz w:val="22"/>
          <w:szCs w:val="22"/>
        </w:rPr>
        <w:t>.</w:t>
      </w:r>
      <w:r w:rsidR="004769E4">
        <w:rPr>
          <w:color w:val="000000" w:themeColor="text1"/>
          <w:sz w:val="22"/>
          <w:szCs w:val="22"/>
        </w:rPr>
        <w:t xml:space="preserve">  Additionally, because there is a one-hour ambient standard for NO</w:t>
      </w:r>
      <w:r w:rsidR="004769E4" w:rsidRPr="00F33A80">
        <w:rPr>
          <w:color w:val="000000" w:themeColor="text1"/>
          <w:sz w:val="22"/>
          <w:szCs w:val="22"/>
          <w:vertAlign w:val="subscript"/>
        </w:rPr>
        <w:t>2</w:t>
      </w:r>
      <w:r w:rsidR="004769E4">
        <w:rPr>
          <w:color w:val="000000" w:themeColor="text1"/>
          <w:sz w:val="22"/>
          <w:szCs w:val="22"/>
        </w:rPr>
        <w:t xml:space="preserve"> concentrations, the applicant has proposed short-term NO</w:t>
      </w:r>
      <w:r w:rsidR="004769E4" w:rsidRPr="00F33A80">
        <w:rPr>
          <w:color w:val="000000" w:themeColor="text1"/>
          <w:sz w:val="22"/>
          <w:szCs w:val="22"/>
          <w:vertAlign w:val="subscript"/>
        </w:rPr>
        <w:t>X</w:t>
      </w:r>
      <w:r w:rsidR="004769E4">
        <w:rPr>
          <w:color w:val="000000" w:themeColor="text1"/>
          <w:sz w:val="22"/>
          <w:szCs w:val="22"/>
        </w:rPr>
        <w:t xml:space="preserve"> limits, on a 24-hour basis.  The applicant has requested that this 24-hour limit equal 0.15 lb/MMBtu if startup, shutdown, and malfunction (SSM) events may be excluded, or 0.18 lb/MMBtu if startup and shutdown events are not excluded.</w:t>
      </w:r>
    </w:p>
    <w:p w:rsidR="00190881" w:rsidRDefault="008A7C45" w:rsidP="0021017D">
      <w:pPr>
        <w:widowControl w:val="0"/>
        <w:spacing w:after="120"/>
        <w:rPr>
          <w:color w:val="000000" w:themeColor="text1"/>
          <w:sz w:val="22"/>
          <w:szCs w:val="22"/>
        </w:rPr>
      </w:pPr>
      <w:r>
        <w:rPr>
          <w:color w:val="000000" w:themeColor="text1"/>
          <w:sz w:val="22"/>
          <w:szCs w:val="22"/>
        </w:rPr>
        <w:t xml:space="preserve">The applicant performed a cost effectiveness analysis for both SNCR and SCR.  The applicant estimates that SCR has a cost </w:t>
      </w:r>
      <w:r w:rsidRPr="00C87937">
        <w:rPr>
          <w:color w:val="000000" w:themeColor="text1"/>
          <w:sz w:val="22"/>
          <w:szCs w:val="22"/>
        </w:rPr>
        <w:t>of $</w:t>
      </w:r>
      <w:r w:rsidR="00C87937" w:rsidRPr="00C87937">
        <w:rPr>
          <w:color w:val="000000" w:themeColor="text1"/>
          <w:sz w:val="22"/>
          <w:szCs w:val="22"/>
        </w:rPr>
        <w:t>3,584</w:t>
      </w:r>
      <w:r w:rsidRPr="00C87937">
        <w:rPr>
          <w:color w:val="000000" w:themeColor="text1"/>
          <w:sz w:val="22"/>
          <w:szCs w:val="22"/>
        </w:rPr>
        <w:t xml:space="preserve"> per</w:t>
      </w:r>
      <w:r>
        <w:rPr>
          <w:color w:val="000000" w:themeColor="text1"/>
          <w:sz w:val="22"/>
          <w:szCs w:val="22"/>
        </w:rPr>
        <w:t xml:space="preserve"> ton of NO</w:t>
      </w:r>
      <w:r w:rsidR="00C87937" w:rsidRPr="00C87937">
        <w:rPr>
          <w:color w:val="000000" w:themeColor="text1"/>
          <w:sz w:val="22"/>
          <w:szCs w:val="22"/>
          <w:vertAlign w:val="subscript"/>
        </w:rPr>
        <w:t>X</w:t>
      </w:r>
      <w:r>
        <w:rPr>
          <w:color w:val="000000" w:themeColor="text1"/>
          <w:sz w:val="22"/>
          <w:szCs w:val="22"/>
        </w:rPr>
        <w:t xml:space="preserve"> removed, while SNCR has a cost of </w:t>
      </w:r>
      <w:r w:rsidR="00C87937">
        <w:rPr>
          <w:color w:val="000000" w:themeColor="text1"/>
          <w:sz w:val="22"/>
          <w:szCs w:val="22"/>
        </w:rPr>
        <w:t>$1,200</w:t>
      </w:r>
      <w:r>
        <w:rPr>
          <w:color w:val="000000" w:themeColor="text1"/>
          <w:sz w:val="22"/>
          <w:szCs w:val="22"/>
        </w:rPr>
        <w:t xml:space="preserve"> per ton of NO</w:t>
      </w:r>
      <w:r w:rsidR="00C87937" w:rsidRPr="00C87937">
        <w:rPr>
          <w:color w:val="000000" w:themeColor="text1"/>
          <w:sz w:val="22"/>
          <w:szCs w:val="22"/>
          <w:vertAlign w:val="subscript"/>
        </w:rPr>
        <w:t>X</w:t>
      </w:r>
      <w:r>
        <w:rPr>
          <w:color w:val="000000" w:themeColor="text1"/>
          <w:sz w:val="22"/>
          <w:szCs w:val="22"/>
        </w:rPr>
        <w:t xml:space="preserve"> removed.</w:t>
      </w:r>
    </w:p>
    <w:p w:rsidR="00393743" w:rsidRPr="00190915" w:rsidRDefault="00393743" w:rsidP="0021017D">
      <w:pPr>
        <w:widowControl w:val="0"/>
        <w:spacing w:after="120"/>
        <w:rPr>
          <w:i/>
          <w:sz w:val="22"/>
          <w:szCs w:val="22"/>
        </w:rPr>
      </w:pPr>
      <w:r>
        <w:rPr>
          <w:color w:val="000000" w:themeColor="text1"/>
          <w:sz w:val="22"/>
          <w:szCs w:val="22"/>
        </w:rPr>
        <w:t>To ensure proper operation of the SNCR system, the applicant has proposed a limit on ammonia slip of 25 ppmvd @ 7% O</w:t>
      </w:r>
      <w:r w:rsidRPr="00393743">
        <w:rPr>
          <w:color w:val="000000" w:themeColor="text1"/>
          <w:sz w:val="22"/>
          <w:szCs w:val="22"/>
          <w:vertAlign w:val="subscript"/>
        </w:rPr>
        <w:t>2</w:t>
      </w:r>
      <w:r>
        <w:rPr>
          <w:color w:val="000000" w:themeColor="text1"/>
          <w:sz w:val="22"/>
          <w:szCs w:val="22"/>
        </w:rPr>
        <w:t>.  This is a reduction from the current limit of 30 ppmvd @ 7% O</w:t>
      </w:r>
      <w:r w:rsidRPr="00393743">
        <w:rPr>
          <w:color w:val="000000" w:themeColor="text1"/>
          <w:sz w:val="22"/>
          <w:szCs w:val="22"/>
          <w:vertAlign w:val="subscript"/>
        </w:rPr>
        <w:t>2</w:t>
      </w:r>
      <w:r>
        <w:rPr>
          <w:color w:val="000000" w:themeColor="text1"/>
          <w:sz w:val="22"/>
          <w:szCs w:val="22"/>
        </w:rPr>
        <w:t>.</w:t>
      </w:r>
    </w:p>
    <w:p w:rsidR="00190881" w:rsidRPr="00155062" w:rsidRDefault="00190881" w:rsidP="002863DB">
      <w:pPr>
        <w:pStyle w:val="ListParagraph"/>
        <w:widowControl w:val="0"/>
        <w:numPr>
          <w:ilvl w:val="2"/>
          <w:numId w:val="15"/>
        </w:numPr>
        <w:spacing w:after="120"/>
        <w:ind w:left="720" w:hanging="720"/>
        <w:jc w:val="both"/>
        <w:rPr>
          <w:sz w:val="22"/>
          <w:szCs w:val="22"/>
          <w:u w:val="single"/>
        </w:rPr>
      </w:pPr>
      <w:r w:rsidRPr="00155062">
        <w:rPr>
          <w:sz w:val="22"/>
          <w:szCs w:val="22"/>
          <w:u w:val="single"/>
        </w:rPr>
        <w:t>Department’s Review</w:t>
      </w:r>
    </w:p>
    <w:p w:rsidR="00BA63D4" w:rsidRPr="00BA63D4" w:rsidRDefault="00BA63D4" w:rsidP="00BA63D4">
      <w:pPr>
        <w:widowControl w:val="0"/>
        <w:spacing w:after="120"/>
        <w:rPr>
          <w:sz w:val="22"/>
          <w:szCs w:val="22"/>
        </w:rPr>
      </w:pPr>
      <w:r w:rsidRPr="00BA63D4">
        <w:rPr>
          <w:sz w:val="22"/>
          <w:szCs w:val="22"/>
        </w:rPr>
        <w:t>According to its definition, BACT is based on the technology the “</w:t>
      </w:r>
      <w:r w:rsidRPr="00A26278">
        <w:rPr>
          <w:sz w:val="22"/>
          <w:szCs w:val="22"/>
        </w:rPr>
        <w:t xml:space="preserve">Department determines is achievable through application of production processes and available methods, systems and techniques (including fuel cleaning or treatment or innovative fuel combustion techniques)”.  </w:t>
      </w:r>
    </w:p>
    <w:p w:rsidR="00BA63D4" w:rsidRPr="00BA63D4" w:rsidRDefault="00BA63D4" w:rsidP="00BA63D4">
      <w:pPr>
        <w:widowControl w:val="0"/>
        <w:spacing w:after="120"/>
        <w:rPr>
          <w:sz w:val="22"/>
          <w:szCs w:val="22"/>
        </w:rPr>
      </w:pPr>
      <w:r w:rsidRPr="00BA63D4">
        <w:rPr>
          <w:sz w:val="22"/>
          <w:szCs w:val="22"/>
        </w:rPr>
        <w:t>The use of a BFB boiler versus stoker boiler involves just variations within the same production process which in the present case is combustion of biomass in a furnace to produce steam and electric power.  Furthermore the key feature of the stoker grate designs for bagasse stokers is drying, volatilization and partial combustion in suspension (prior t</w:t>
      </w:r>
      <w:r w:rsidR="003D7B0B">
        <w:rPr>
          <w:sz w:val="22"/>
          <w:szCs w:val="22"/>
        </w:rPr>
        <w:t>o falling on the grate).</w:t>
      </w:r>
    </w:p>
    <w:p w:rsidR="00BA63D4" w:rsidRDefault="00BA63D4" w:rsidP="00BA63D4">
      <w:pPr>
        <w:widowControl w:val="0"/>
        <w:spacing w:before="120" w:after="120"/>
        <w:rPr>
          <w:sz w:val="22"/>
          <w:szCs w:val="22"/>
        </w:rPr>
      </w:pPr>
      <w:r w:rsidRPr="00BA63D4">
        <w:rPr>
          <w:sz w:val="22"/>
          <w:szCs w:val="22"/>
        </w:rPr>
        <w:t>Consideration of a BFB boiler versus a grate stoker with suspension drying, volatilization and partial</w:t>
      </w:r>
      <w:r w:rsidR="00CC39B8">
        <w:rPr>
          <w:sz w:val="22"/>
          <w:szCs w:val="22"/>
        </w:rPr>
        <w:t xml:space="preserve"> </w:t>
      </w:r>
      <w:r w:rsidRPr="00BA63D4">
        <w:rPr>
          <w:sz w:val="22"/>
          <w:szCs w:val="22"/>
        </w:rPr>
        <w:t xml:space="preserve">combustion (combustion technique) is within the scope of a BACT definition and review.  BACT also includes treatment techniques and a combination of such techniques can improve the emission profile of a stoker to a level where is equals that of a BFB boiler.  Therefore it is allowable to specify a BFB boiler as the basis of BACT emission limits while allowing installation of a stoker boiler. </w:t>
      </w:r>
    </w:p>
    <w:p w:rsidR="008A7C45" w:rsidRPr="00BA63D4" w:rsidRDefault="008A7C45" w:rsidP="00BA63D4">
      <w:pPr>
        <w:widowControl w:val="0"/>
        <w:spacing w:before="120" w:after="120"/>
        <w:rPr>
          <w:sz w:val="22"/>
          <w:szCs w:val="22"/>
        </w:rPr>
      </w:pPr>
      <w:r>
        <w:rPr>
          <w:sz w:val="22"/>
          <w:szCs w:val="22"/>
        </w:rPr>
        <w:t>The proposed limit is in line with other recently issued BACT determinations for biomass-fueled boilers.  The proposed limit is essentially identical to the limit issued recently for the U.S. Sugar Clewiston Mill Boiler No. 9.  The 468 MMBtu/hr wood-fueled boiler at the Sierra Pacific facility near Anderson California, received a limit of 0.13 lb/MMBtu, based on the use of SNCR.</w:t>
      </w:r>
    </w:p>
    <w:p w:rsidR="00F33A80" w:rsidRDefault="00BA63D4" w:rsidP="00BA63D4">
      <w:pPr>
        <w:widowControl w:val="0"/>
        <w:spacing w:after="120"/>
        <w:rPr>
          <w:sz w:val="22"/>
          <w:szCs w:val="22"/>
        </w:rPr>
      </w:pPr>
      <w:r w:rsidRPr="00BA63D4">
        <w:rPr>
          <w:sz w:val="22"/>
          <w:szCs w:val="22"/>
        </w:rPr>
        <w:t>The Department accepts the applicant’s BACT proposal for this project of 0.10 lb NO</w:t>
      </w:r>
      <w:r w:rsidRPr="00BA63D4">
        <w:rPr>
          <w:sz w:val="22"/>
          <w:szCs w:val="22"/>
          <w:vertAlign w:val="subscript"/>
        </w:rPr>
        <w:t>X</w:t>
      </w:r>
      <w:r w:rsidRPr="00BA63D4">
        <w:rPr>
          <w:sz w:val="22"/>
          <w:szCs w:val="22"/>
        </w:rPr>
        <w:t>/</w:t>
      </w:r>
      <w:r>
        <w:rPr>
          <w:sz w:val="22"/>
          <w:szCs w:val="22"/>
        </w:rPr>
        <w:t>MM</w:t>
      </w:r>
      <w:r w:rsidRPr="00BA63D4">
        <w:rPr>
          <w:sz w:val="22"/>
          <w:szCs w:val="22"/>
        </w:rPr>
        <w:t xml:space="preserve">Btu (30-day average) on the basis of incorporating GCP and SNCR in a </w:t>
      </w:r>
      <w:r w:rsidR="00563827">
        <w:rPr>
          <w:sz w:val="22"/>
          <w:szCs w:val="22"/>
        </w:rPr>
        <w:t>hybrid suspension grate</w:t>
      </w:r>
      <w:r w:rsidRPr="00BA63D4">
        <w:rPr>
          <w:sz w:val="22"/>
          <w:szCs w:val="22"/>
        </w:rPr>
        <w:t xml:space="preserve"> boiler.  Compliance will be demonstrated by a NO</w:t>
      </w:r>
      <w:r w:rsidRPr="00BA63D4">
        <w:rPr>
          <w:sz w:val="22"/>
          <w:szCs w:val="22"/>
          <w:vertAlign w:val="subscript"/>
        </w:rPr>
        <w:t>X</w:t>
      </w:r>
      <w:r>
        <w:rPr>
          <w:sz w:val="22"/>
          <w:szCs w:val="22"/>
        </w:rPr>
        <w:t xml:space="preserve"> continuous emission monitoring s</w:t>
      </w:r>
      <w:r w:rsidR="00A85745">
        <w:rPr>
          <w:sz w:val="22"/>
          <w:szCs w:val="22"/>
        </w:rPr>
        <w:t xml:space="preserve">ystem (CEMS).  </w:t>
      </w:r>
      <w:r w:rsidRPr="00BA63D4">
        <w:rPr>
          <w:sz w:val="22"/>
          <w:szCs w:val="22"/>
        </w:rPr>
        <w:t>Inclusion of Ox-cat to control CO, VOC and HAP will provide flexibility to achieve the NO</w:t>
      </w:r>
      <w:r w:rsidRPr="00BA63D4">
        <w:rPr>
          <w:sz w:val="22"/>
          <w:szCs w:val="22"/>
          <w:vertAlign w:val="subscript"/>
        </w:rPr>
        <w:t>X</w:t>
      </w:r>
      <w:r w:rsidRPr="00BA63D4">
        <w:rPr>
          <w:sz w:val="22"/>
          <w:szCs w:val="22"/>
        </w:rPr>
        <w:t xml:space="preserve"> BACT by GCP and SNCR.  The Department does not reject BFB and SCR and these remain options for con</w:t>
      </w:r>
      <w:r w:rsidR="00F33A80">
        <w:rPr>
          <w:sz w:val="22"/>
          <w:szCs w:val="22"/>
        </w:rPr>
        <w:t>sideration in future projects.</w:t>
      </w:r>
      <w:r w:rsidR="00614117">
        <w:rPr>
          <w:sz w:val="22"/>
          <w:szCs w:val="22"/>
        </w:rPr>
        <w:t xml:space="preserve">  To help assure that there is no exceedance with the NO</w:t>
      </w:r>
      <w:r w:rsidR="00614117" w:rsidRPr="00393743">
        <w:rPr>
          <w:sz w:val="22"/>
          <w:szCs w:val="22"/>
          <w:vertAlign w:val="subscript"/>
        </w:rPr>
        <w:t>2</w:t>
      </w:r>
      <w:r w:rsidR="00614117">
        <w:rPr>
          <w:sz w:val="22"/>
          <w:szCs w:val="22"/>
        </w:rPr>
        <w:t xml:space="preserve"> ambient standard, the Department will set an additional BACT limit for NO</w:t>
      </w:r>
      <w:r w:rsidR="00614117" w:rsidRPr="00F33A80">
        <w:rPr>
          <w:sz w:val="22"/>
          <w:szCs w:val="22"/>
          <w:vertAlign w:val="subscript"/>
        </w:rPr>
        <w:t>X</w:t>
      </w:r>
      <w:r w:rsidR="00614117">
        <w:rPr>
          <w:sz w:val="22"/>
          <w:szCs w:val="22"/>
        </w:rPr>
        <w:t xml:space="preserve"> of 0.15 lb/MMBtu, on a 24-hour rolling basis, which will not apply during startup and shutdown.</w:t>
      </w:r>
    </w:p>
    <w:p w:rsidR="00F33A80" w:rsidRDefault="00F33A80" w:rsidP="00BA63D4">
      <w:pPr>
        <w:widowControl w:val="0"/>
        <w:spacing w:after="120"/>
        <w:rPr>
          <w:sz w:val="22"/>
          <w:szCs w:val="22"/>
        </w:rPr>
      </w:pPr>
      <w:r>
        <w:rPr>
          <w:sz w:val="22"/>
          <w:szCs w:val="22"/>
        </w:rPr>
        <w:t xml:space="preserve">To assure that periods of startup and shutdown are covered by an emissions limit, </w:t>
      </w:r>
      <w:r w:rsidR="00CC39B8">
        <w:rPr>
          <w:sz w:val="22"/>
          <w:szCs w:val="22"/>
        </w:rPr>
        <w:t>the Department will adopt as a “Secondary BACT” standard the Subpart Db NO</w:t>
      </w:r>
      <w:r w:rsidR="00CC39B8" w:rsidRPr="00CC39B8">
        <w:rPr>
          <w:sz w:val="22"/>
          <w:szCs w:val="22"/>
          <w:vertAlign w:val="subscript"/>
        </w:rPr>
        <w:t>X</w:t>
      </w:r>
      <w:r w:rsidR="00CC39B8">
        <w:rPr>
          <w:sz w:val="22"/>
          <w:szCs w:val="22"/>
        </w:rPr>
        <w:t xml:space="preserve"> emission limit of 0.2 lb/MMBtu, which applies at all times.  </w:t>
      </w:r>
    </w:p>
    <w:p w:rsidR="00393743" w:rsidRPr="00BA63D4" w:rsidRDefault="00614117" w:rsidP="00BA63D4">
      <w:pPr>
        <w:widowControl w:val="0"/>
        <w:spacing w:after="120"/>
        <w:rPr>
          <w:sz w:val="22"/>
          <w:szCs w:val="22"/>
        </w:rPr>
      </w:pPr>
      <w:r>
        <w:rPr>
          <w:sz w:val="22"/>
          <w:szCs w:val="22"/>
        </w:rPr>
        <w:t>Further</w:t>
      </w:r>
      <w:r w:rsidR="00393743">
        <w:rPr>
          <w:sz w:val="22"/>
          <w:szCs w:val="22"/>
        </w:rPr>
        <w:t xml:space="preserve">, the Department will set a limit on ammonia slip </w:t>
      </w:r>
      <w:r w:rsidR="00393743">
        <w:rPr>
          <w:color w:val="000000" w:themeColor="text1"/>
          <w:sz w:val="22"/>
          <w:szCs w:val="22"/>
        </w:rPr>
        <w:t>of 25 ppmvd @ 7% O</w:t>
      </w:r>
      <w:r w:rsidR="00393743" w:rsidRPr="00393743">
        <w:rPr>
          <w:color w:val="000000" w:themeColor="text1"/>
          <w:sz w:val="22"/>
          <w:szCs w:val="22"/>
          <w:vertAlign w:val="subscript"/>
        </w:rPr>
        <w:t>2</w:t>
      </w:r>
      <w:r w:rsidR="00393743">
        <w:rPr>
          <w:color w:val="000000" w:themeColor="text1"/>
          <w:sz w:val="22"/>
          <w:szCs w:val="22"/>
        </w:rPr>
        <w:t>, to be demonstrated by initial and annual stack tests.</w:t>
      </w:r>
    </w:p>
    <w:p w:rsidR="002F36EB" w:rsidRDefault="002F36EB" w:rsidP="002F36EB">
      <w:pPr>
        <w:pStyle w:val="ListParagraph"/>
        <w:widowControl w:val="0"/>
        <w:numPr>
          <w:ilvl w:val="1"/>
          <w:numId w:val="15"/>
        </w:numPr>
        <w:spacing w:before="120" w:after="120"/>
        <w:ind w:left="720" w:hanging="720"/>
        <w:contextualSpacing w:val="0"/>
        <w:rPr>
          <w:b/>
          <w:sz w:val="22"/>
          <w:szCs w:val="22"/>
        </w:rPr>
      </w:pPr>
      <w:r>
        <w:rPr>
          <w:b/>
          <w:sz w:val="22"/>
          <w:szCs w:val="22"/>
        </w:rPr>
        <w:t>VOC and CO Emissions</w:t>
      </w:r>
    </w:p>
    <w:p w:rsidR="00D54D29" w:rsidRPr="00155062" w:rsidRDefault="00D54D29" w:rsidP="00D54D29">
      <w:pPr>
        <w:pStyle w:val="ListParagraph"/>
        <w:widowControl w:val="0"/>
        <w:numPr>
          <w:ilvl w:val="2"/>
          <w:numId w:val="15"/>
        </w:numPr>
        <w:spacing w:after="120"/>
        <w:ind w:left="720" w:hanging="720"/>
        <w:jc w:val="both"/>
        <w:rPr>
          <w:sz w:val="22"/>
          <w:szCs w:val="22"/>
          <w:u w:val="single"/>
        </w:rPr>
      </w:pPr>
      <w:r w:rsidRPr="00155062">
        <w:rPr>
          <w:sz w:val="22"/>
          <w:szCs w:val="22"/>
          <w:u w:val="single"/>
        </w:rPr>
        <w:t>Discussion</w:t>
      </w:r>
    </w:p>
    <w:p w:rsidR="00D54D29" w:rsidRPr="00D54D29" w:rsidRDefault="00D54D29" w:rsidP="00D54D29">
      <w:pPr>
        <w:spacing w:after="120"/>
        <w:rPr>
          <w:sz w:val="22"/>
          <w:szCs w:val="22"/>
        </w:rPr>
      </w:pPr>
      <w:r w:rsidRPr="00D54D29">
        <w:rPr>
          <w:sz w:val="22"/>
          <w:szCs w:val="22"/>
        </w:rPr>
        <w:t>Refer to the previous descriptions of the BFB boiler and stoker boiler operation.  CO and VOC (including organic HAP) are products of incomplete combustion.  Combustion in the lower furnace occurs in sub</w:t>
      </w:r>
      <w:r>
        <w:rPr>
          <w:sz w:val="22"/>
          <w:szCs w:val="22"/>
        </w:rPr>
        <w:t>-</w:t>
      </w:r>
      <w:r w:rsidRPr="00D54D29">
        <w:rPr>
          <w:sz w:val="22"/>
          <w:szCs w:val="22"/>
        </w:rPr>
        <w:t>stoichiometric conditions.  Also, there often exist localized sub</w:t>
      </w:r>
      <w:r>
        <w:rPr>
          <w:sz w:val="22"/>
          <w:szCs w:val="22"/>
        </w:rPr>
        <w:t>-</w:t>
      </w:r>
      <w:r w:rsidRPr="00D54D29">
        <w:rPr>
          <w:sz w:val="22"/>
          <w:szCs w:val="22"/>
        </w:rPr>
        <w:t xml:space="preserve">stoichiometric pockets or cells even if overall excess oxygen conditions are maintained in the lower furnace.  </w:t>
      </w:r>
    </w:p>
    <w:p w:rsidR="00D54D29" w:rsidRPr="00D54D29" w:rsidRDefault="00D54D29" w:rsidP="00D54D29">
      <w:pPr>
        <w:spacing w:after="120"/>
        <w:rPr>
          <w:sz w:val="22"/>
          <w:szCs w:val="22"/>
        </w:rPr>
      </w:pPr>
      <w:r w:rsidRPr="00D54D29">
        <w:rPr>
          <w:sz w:val="22"/>
          <w:szCs w:val="22"/>
        </w:rPr>
        <w:lastRenderedPageBreak/>
        <w:t>A great deal of CO is evolved as well as VOC (including hydrocarbon radicals and other species).  The CO, hydrocarbon radicals and reduced nitrogen compounds (as previously mentioned) participate in reactions that assist in primary NO</w:t>
      </w:r>
      <w:r w:rsidRPr="00D54D29">
        <w:rPr>
          <w:sz w:val="22"/>
          <w:szCs w:val="22"/>
          <w:vertAlign w:val="subscript"/>
        </w:rPr>
        <w:t>X</w:t>
      </w:r>
      <w:r w:rsidRPr="00D54D29">
        <w:rPr>
          <w:sz w:val="22"/>
          <w:szCs w:val="22"/>
        </w:rPr>
        <w:t xml:space="preserve"> control.  </w:t>
      </w:r>
    </w:p>
    <w:p w:rsidR="00D54D29" w:rsidRPr="00D54D29" w:rsidRDefault="00D54D29" w:rsidP="00D54D29">
      <w:pPr>
        <w:spacing w:after="120"/>
        <w:rPr>
          <w:sz w:val="22"/>
          <w:szCs w:val="22"/>
        </w:rPr>
      </w:pPr>
      <w:r w:rsidRPr="00D54D29">
        <w:rPr>
          <w:sz w:val="22"/>
          <w:szCs w:val="22"/>
        </w:rPr>
        <w:t>Sufficient OFA, temperature and turbulence is necessary to complete the burnout of CO, fine char and VOC.  Clearly throttling NO</w:t>
      </w:r>
      <w:r w:rsidRPr="00D54D29">
        <w:rPr>
          <w:sz w:val="22"/>
          <w:szCs w:val="22"/>
          <w:vertAlign w:val="subscript"/>
        </w:rPr>
        <w:t>X</w:t>
      </w:r>
      <w:r w:rsidRPr="00D54D29">
        <w:rPr>
          <w:sz w:val="22"/>
          <w:szCs w:val="22"/>
        </w:rPr>
        <w:t xml:space="preserve"> formation by staging combustion using the OFA ports affects CO and VOC formation in the furnace.  Basically, the manner by which the boiler is operated (e.g. favoring NO</w:t>
      </w:r>
      <w:r w:rsidRPr="00D54D29">
        <w:rPr>
          <w:sz w:val="22"/>
          <w:szCs w:val="22"/>
          <w:vertAlign w:val="subscript"/>
        </w:rPr>
        <w:t>X</w:t>
      </w:r>
      <w:r w:rsidRPr="00D54D29">
        <w:rPr>
          <w:sz w:val="22"/>
          <w:szCs w:val="22"/>
        </w:rPr>
        <w:t xml:space="preserve"> over CO/VOC control) is part of an overall source emission strategy that considers the emissions limits and costs of add-on controls.</w:t>
      </w:r>
    </w:p>
    <w:p w:rsidR="00D54D29" w:rsidRPr="00D54D29" w:rsidRDefault="00D54D29" w:rsidP="00D54D29">
      <w:pPr>
        <w:tabs>
          <w:tab w:val="left" w:pos="450"/>
        </w:tabs>
        <w:spacing w:before="120" w:after="120"/>
        <w:outlineLvl w:val="0"/>
        <w:rPr>
          <w:sz w:val="22"/>
          <w:szCs w:val="22"/>
        </w:rPr>
      </w:pPr>
      <w:r w:rsidRPr="00D54D29">
        <w:rPr>
          <w:sz w:val="22"/>
          <w:szCs w:val="22"/>
        </w:rPr>
        <w:t>If GCP are geared primarily to control NO</w:t>
      </w:r>
      <w:r w:rsidRPr="00D54D29">
        <w:rPr>
          <w:sz w:val="22"/>
          <w:szCs w:val="22"/>
          <w:vertAlign w:val="subscript"/>
        </w:rPr>
        <w:t>X</w:t>
      </w:r>
      <w:r w:rsidRPr="00D54D29">
        <w:rPr>
          <w:sz w:val="22"/>
          <w:szCs w:val="22"/>
        </w:rPr>
        <w:t xml:space="preserve"> then there is less freedom when also controlling CO and VOC by the same GCP.  If GCP</w:t>
      </w:r>
      <w:r>
        <w:rPr>
          <w:sz w:val="22"/>
          <w:szCs w:val="22"/>
        </w:rPr>
        <w:t>s</w:t>
      </w:r>
      <w:r w:rsidRPr="00D54D29">
        <w:rPr>
          <w:sz w:val="22"/>
          <w:szCs w:val="22"/>
        </w:rPr>
        <w:t xml:space="preserve"> are not sufficient to achieve low CO and VOC emissions, an oxidation catalyst (Ox-cat) is an option.  As in the case of SCR catalyst, the preferred location of an Ox-cat system is after the PM control device (e.g. ESP).</w:t>
      </w:r>
    </w:p>
    <w:p w:rsidR="00D54D29" w:rsidRDefault="00D54D29" w:rsidP="00D54D29">
      <w:pPr>
        <w:spacing w:after="120"/>
        <w:rPr>
          <w:sz w:val="22"/>
          <w:szCs w:val="22"/>
        </w:rPr>
      </w:pPr>
      <w:r>
        <w:rPr>
          <w:sz w:val="22"/>
          <w:szCs w:val="22"/>
        </w:rPr>
        <w:t xml:space="preserve">Ox-cat can be </w:t>
      </w:r>
      <w:r w:rsidRPr="00D54D29">
        <w:rPr>
          <w:sz w:val="22"/>
          <w:szCs w:val="22"/>
        </w:rPr>
        <w:t>effective for CO removal at temperatures as low as 300 °F</w:t>
      </w:r>
      <w:r w:rsidR="00C40694">
        <w:rPr>
          <w:sz w:val="22"/>
          <w:szCs w:val="22"/>
        </w:rPr>
        <w:t xml:space="preserve">, and the application indicates a stack exit temperature of 340 </w:t>
      </w:r>
      <w:r w:rsidR="00C40694" w:rsidRPr="00D54D29">
        <w:rPr>
          <w:sz w:val="22"/>
          <w:szCs w:val="22"/>
        </w:rPr>
        <w:t>°F</w:t>
      </w:r>
      <w:r w:rsidR="00C40694">
        <w:rPr>
          <w:sz w:val="22"/>
          <w:szCs w:val="22"/>
        </w:rPr>
        <w:t>, suggesting that there should be minimal to no need for additional heating of the exhaust gas</w:t>
      </w:r>
      <w:r w:rsidRPr="00D54D29">
        <w:rPr>
          <w:sz w:val="22"/>
          <w:szCs w:val="22"/>
        </w:rPr>
        <w:t>.  Moreover, Ox-cat is even more effective in destroying formaldehyde (</w:t>
      </w:r>
      <w:r>
        <w:rPr>
          <w:sz w:val="22"/>
          <w:szCs w:val="22"/>
        </w:rPr>
        <w:t>HCHO</w:t>
      </w:r>
      <w:r w:rsidRPr="00D54D29">
        <w:rPr>
          <w:sz w:val="22"/>
          <w:szCs w:val="22"/>
        </w:rPr>
        <w:t xml:space="preserve"> - the HAP emitted in the greatest amount from the HEF boiler) than its effectiveness in destroying CO</w:t>
      </w:r>
      <w:r>
        <w:rPr>
          <w:sz w:val="22"/>
          <w:szCs w:val="22"/>
        </w:rPr>
        <w:t>.</w:t>
      </w:r>
    </w:p>
    <w:p w:rsidR="00D54D29" w:rsidRDefault="00D54D29" w:rsidP="00D54D29">
      <w:pPr>
        <w:spacing w:after="120"/>
        <w:rPr>
          <w:sz w:val="22"/>
          <w:szCs w:val="22"/>
        </w:rPr>
      </w:pPr>
      <w:r>
        <w:rPr>
          <w:sz w:val="22"/>
          <w:szCs w:val="22"/>
        </w:rPr>
        <w:t>Under NESHAP Subpart DDDDD, this boiler will be subject to a CO limit of 900 ppmvd @ 3% O</w:t>
      </w:r>
      <w:r w:rsidRPr="00453940">
        <w:rPr>
          <w:sz w:val="22"/>
          <w:szCs w:val="22"/>
          <w:vertAlign w:val="subscript"/>
        </w:rPr>
        <w:t>2</w:t>
      </w:r>
      <w:r>
        <w:rPr>
          <w:sz w:val="22"/>
          <w:szCs w:val="22"/>
        </w:rPr>
        <w:t>, wi</w:t>
      </w:r>
      <w:r w:rsidR="00453940">
        <w:rPr>
          <w:sz w:val="22"/>
          <w:szCs w:val="22"/>
        </w:rPr>
        <w:t>th compliance demonstrated by CO CEMS.  This limit does not apply during periods of startup or shutdown.</w:t>
      </w:r>
    </w:p>
    <w:p w:rsidR="00D54D29" w:rsidRPr="00155062" w:rsidRDefault="00D54D29" w:rsidP="00D54D29">
      <w:pPr>
        <w:pStyle w:val="ListParagraph"/>
        <w:widowControl w:val="0"/>
        <w:numPr>
          <w:ilvl w:val="2"/>
          <w:numId w:val="15"/>
        </w:numPr>
        <w:spacing w:after="120"/>
        <w:ind w:left="720" w:hanging="720"/>
        <w:jc w:val="both"/>
        <w:rPr>
          <w:sz w:val="22"/>
          <w:szCs w:val="22"/>
          <w:u w:val="single"/>
        </w:rPr>
      </w:pPr>
      <w:r w:rsidRPr="00155062">
        <w:rPr>
          <w:sz w:val="22"/>
          <w:szCs w:val="22"/>
          <w:u w:val="single"/>
        </w:rPr>
        <w:t>Applicant’s Proposal</w:t>
      </w:r>
    </w:p>
    <w:p w:rsidR="00D54D29" w:rsidRDefault="0051177F" w:rsidP="008B1C63">
      <w:pPr>
        <w:widowControl w:val="0"/>
        <w:spacing w:after="120"/>
        <w:rPr>
          <w:sz w:val="22"/>
          <w:szCs w:val="22"/>
        </w:rPr>
      </w:pPr>
      <w:r>
        <w:rPr>
          <w:sz w:val="22"/>
          <w:szCs w:val="22"/>
        </w:rPr>
        <w:t>The applicant has proposed the use of the most stringent control option available, oxidation catalyst.</w:t>
      </w:r>
      <w:r w:rsidR="008B1C63">
        <w:rPr>
          <w:sz w:val="22"/>
          <w:szCs w:val="22"/>
        </w:rPr>
        <w:t xml:space="preserve">  The original BACT determination for this unit </w:t>
      </w:r>
      <w:r w:rsidR="00354D1F">
        <w:rPr>
          <w:sz w:val="22"/>
          <w:szCs w:val="22"/>
        </w:rPr>
        <w:t>required the installation of an ox-cat system for an initial 24-month test period, along with a CO limit of 0.30 lb/MMBtu on a 30-day rolling average basis (by CEMS) and a VOC limit of 0.017 lb/MMBtu, based on annual stack test.  After the 24-month period, the facility would submit a report to the Department, which would adjust these limits based on the initial tests, or allow for the removal of the ox-cat system.  The applicant has proposed that this original BACT determination be re-validated.</w:t>
      </w:r>
    </w:p>
    <w:p w:rsidR="00CB2694" w:rsidRDefault="009E7500" w:rsidP="009E7500">
      <w:pPr>
        <w:widowControl w:val="0"/>
        <w:spacing w:before="120" w:after="120"/>
        <w:rPr>
          <w:sz w:val="22"/>
          <w:szCs w:val="22"/>
        </w:rPr>
      </w:pPr>
      <w:r>
        <w:rPr>
          <w:sz w:val="22"/>
          <w:szCs w:val="22"/>
        </w:rPr>
        <w:t xml:space="preserve">To cover periods of startup and shutdown, the applicant has a requested an annual limit of </w:t>
      </w:r>
      <w:r w:rsidR="003C2393">
        <w:rPr>
          <w:sz w:val="22"/>
          <w:szCs w:val="22"/>
        </w:rPr>
        <w:t>552.9 tons per year.  Furthermore, the applicant notes that the Subpart DDDDD work practices will limit emissions of CO during these periods.</w:t>
      </w:r>
    </w:p>
    <w:p w:rsidR="00354D1F" w:rsidRPr="00155062" w:rsidRDefault="00354D1F" w:rsidP="00CB2694">
      <w:pPr>
        <w:pStyle w:val="ListParagraph"/>
        <w:widowControl w:val="0"/>
        <w:numPr>
          <w:ilvl w:val="2"/>
          <w:numId w:val="15"/>
        </w:numPr>
        <w:spacing w:after="120"/>
        <w:ind w:left="720" w:hanging="720"/>
        <w:jc w:val="both"/>
        <w:rPr>
          <w:sz w:val="22"/>
          <w:szCs w:val="22"/>
          <w:u w:val="single"/>
        </w:rPr>
      </w:pPr>
      <w:r w:rsidRPr="00155062">
        <w:rPr>
          <w:sz w:val="22"/>
          <w:szCs w:val="22"/>
          <w:u w:val="single"/>
        </w:rPr>
        <w:t>Department’s Review</w:t>
      </w:r>
    </w:p>
    <w:p w:rsidR="00354D1F" w:rsidRDefault="006057C2" w:rsidP="00D54D29">
      <w:pPr>
        <w:widowControl w:val="0"/>
        <w:spacing w:before="120" w:after="120"/>
        <w:rPr>
          <w:sz w:val="22"/>
          <w:szCs w:val="22"/>
        </w:rPr>
      </w:pPr>
      <w:r>
        <w:rPr>
          <w:sz w:val="22"/>
          <w:szCs w:val="22"/>
        </w:rPr>
        <w:t xml:space="preserve">There have been essentially no changes in the appropriate degree of CO and VOC control since the original BACT determination for this facility.  </w:t>
      </w:r>
      <w:r w:rsidR="00FA080E">
        <w:rPr>
          <w:sz w:val="22"/>
          <w:szCs w:val="22"/>
        </w:rPr>
        <w:t>In the original permit application submitted in 2011, t</w:t>
      </w:r>
      <w:r>
        <w:rPr>
          <w:sz w:val="22"/>
          <w:szCs w:val="22"/>
        </w:rPr>
        <w:t xml:space="preserve">he applicant’s estimated cost effectiveness </w:t>
      </w:r>
      <w:r w:rsidR="00FA080E">
        <w:rPr>
          <w:sz w:val="22"/>
          <w:szCs w:val="22"/>
        </w:rPr>
        <w:t>was</w:t>
      </w:r>
      <w:r>
        <w:rPr>
          <w:sz w:val="22"/>
          <w:szCs w:val="22"/>
        </w:rPr>
        <w:t xml:space="preserve"> $1,044 per ton of CO and VOC removed</w:t>
      </w:r>
      <w:r w:rsidR="000254A3">
        <w:rPr>
          <w:sz w:val="22"/>
          <w:szCs w:val="22"/>
        </w:rPr>
        <w:t>, assuming a 60% control eff</w:t>
      </w:r>
      <w:r w:rsidR="00881709">
        <w:rPr>
          <w:sz w:val="22"/>
          <w:szCs w:val="22"/>
        </w:rPr>
        <w:t>iciency</w:t>
      </w:r>
      <w:r>
        <w:rPr>
          <w:sz w:val="22"/>
          <w:szCs w:val="22"/>
        </w:rPr>
        <w:t xml:space="preserve">.  </w:t>
      </w:r>
      <w:r w:rsidR="00FA080E">
        <w:rPr>
          <w:sz w:val="22"/>
          <w:szCs w:val="22"/>
        </w:rPr>
        <w:t xml:space="preserve">This is a very reasonable cost to incur for this degree of control.  </w:t>
      </w:r>
      <w:r>
        <w:rPr>
          <w:sz w:val="22"/>
          <w:szCs w:val="22"/>
        </w:rPr>
        <w:t>The Department re-affirms its original BACT determination for this project.</w:t>
      </w:r>
    </w:p>
    <w:p w:rsidR="00C40694" w:rsidRDefault="00C40694" w:rsidP="00D54D29">
      <w:pPr>
        <w:widowControl w:val="0"/>
        <w:spacing w:before="120" w:after="120"/>
        <w:rPr>
          <w:sz w:val="22"/>
          <w:szCs w:val="22"/>
        </w:rPr>
      </w:pPr>
      <w:r>
        <w:rPr>
          <w:sz w:val="22"/>
          <w:szCs w:val="22"/>
        </w:rPr>
        <w:t>In June 2017, the applicant received a quote for a catalyst system, resulting in an estimate of total annualized costs of $373,300.  If 50% control of CO and VOC</w:t>
      </w:r>
      <w:r w:rsidR="006437D1">
        <w:rPr>
          <w:sz w:val="22"/>
          <w:szCs w:val="22"/>
        </w:rPr>
        <w:t xml:space="preserve"> is assumed, this would result</w:t>
      </w:r>
      <w:r>
        <w:rPr>
          <w:sz w:val="22"/>
          <w:szCs w:val="22"/>
        </w:rPr>
        <w:t xml:space="preserve"> in a combined cost effectiveness of $1,283/ton; however, thi</w:t>
      </w:r>
      <w:r w:rsidR="006437D1">
        <w:rPr>
          <w:sz w:val="22"/>
          <w:szCs w:val="22"/>
        </w:rPr>
        <w:t>s 50% control estimate is likely a lower bound on system performance.  A 75% control assumption results in a cost of $852/ton, and a 90% control assumption leads to a cost of $751/ton.</w:t>
      </w:r>
      <w:r w:rsidR="009949C2">
        <w:rPr>
          <w:sz w:val="22"/>
          <w:szCs w:val="22"/>
        </w:rPr>
        <w:t xml:space="preserve">  Also, note that the oxidation catalyst would have co-benefits for HAP (formaldehyde) reduction, though these are not quantified here.</w:t>
      </w:r>
    </w:p>
    <w:p w:rsidR="006437D1" w:rsidRDefault="006437D1" w:rsidP="00D54D29">
      <w:pPr>
        <w:widowControl w:val="0"/>
        <w:spacing w:before="120" w:after="120"/>
        <w:rPr>
          <w:sz w:val="22"/>
          <w:szCs w:val="22"/>
        </w:rPr>
      </w:pPr>
      <w:r>
        <w:rPr>
          <w:sz w:val="22"/>
          <w:szCs w:val="22"/>
        </w:rPr>
        <w:t>In Permit No. 0530380-010-AC for the wood-fueled Brooksville Power Plant</w:t>
      </w:r>
      <w:r>
        <w:rPr>
          <w:rStyle w:val="FootnoteReference"/>
          <w:sz w:val="22"/>
          <w:szCs w:val="22"/>
        </w:rPr>
        <w:footnoteReference w:id="4"/>
      </w:r>
      <w:r>
        <w:rPr>
          <w:sz w:val="22"/>
          <w:szCs w:val="22"/>
        </w:rPr>
        <w:t>, the Department determined that an oxidation catalyst was not technically feasible in a space-constrained retrofit situation, but that this would not be a concern for a greenfield facility, such as Highlands EnviroFuels.</w:t>
      </w:r>
    </w:p>
    <w:p w:rsidR="006057C2" w:rsidRDefault="006057C2" w:rsidP="006057C2">
      <w:pPr>
        <w:widowControl w:val="0"/>
        <w:spacing w:after="120"/>
        <w:rPr>
          <w:sz w:val="22"/>
          <w:szCs w:val="22"/>
        </w:rPr>
      </w:pPr>
      <w:r>
        <w:rPr>
          <w:sz w:val="22"/>
          <w:szCs w:val="22"/>
        </w:rPr>
        <w:t xml:space="preserve">The Department has determined that BACT for this project is the requirement to install ox-cat with a final permit CO and VOC limits to be set in the future.  The initial permit limits will be 0.30 lb CO/MMBtu (30-day </w:t>
      </w:r>
      <w:r>
        <w:rPr>
          <w:sz w:val="22"/>
          <w:szCs w:val="22"/>
        </w:rPr>
        <w:lastRenderedPageBreak/>
        <w:t>average) and 0.017 lb VOC/MMBtu.</w:t>
      </w:r>
    </w:p>
    <w:p w:rsidR="006057C2" w:rsidRDefault="006057C2" w:rsidP="006057C2">
      <w:pPr>
        <w:widowControl w:val="0"/>
        <w:spacing w:after="120"/>
        <w:rPr>
          <w:sz w:val="22"/>
          <w:szCs w:val="22"/>
        </w:rPr>
      </w:pPr>
      <w:r>
        <w:rPr>
          <w:sz w:val="22"/>
          <w:szCs w:val="22"/>
        </w:rPr>
        <w:t xml:space="preserve">The ox-cat system will be installed and tested for a 24-month test period to determine if catalyst poisoning occurs due to the bagasse fuels.  At the end of the 24-month test period, a </w:t>
      </w:r>
      <w:r w:rsidRPr="00975818">
        <w:rPr>
          <w:sz w:val="22"/>
          <w:szCs w:val="22"/>
        </w:rPr>
        <w:t xml:space="preserve">test report </w:t>
      </w:r>
      <w:r>
        <w:rPr>
          <w:sz w:val="22"/>
          <w:szCs w:val="22"/>
        </w:rPr>
        <w:t>will</w:t>
      </w:r>
      <w:r w:rsidRPr="00975818">
        <w:rPr>
          <w:sz w:val="22"/>
          <w:szCs w:val="22"/>
        </w:rPr>
        <w:t xml:space="preserve"> be submitted to the Compliance </w:t>
      </w:r>
      <w:r>
        <w:rPr>
          <w:sz w:val="22"/>
          <w:szCs w:val="22"/>
        </w:rPr>
        <w:t>and Permitting Authorities</w:t>
      </w:r>
      <w:r w:rsidRPr="00975818">
        <w:rPr>
          <w:sz w:val="22"/>
          <w:szCs w:val="22"/>
        </w:rPr>
        <w:t xml:space="preserve">.  </w:t>
      </w:r>
      <w:r>
        <w:rPr>
          <w:sz w:val="22"/>
          <w:szCs w:val="22"/>
        </w:rPr>
        <w:t>T</w:t>
      </w:r>
      <w:r w:rsidRPr="00975818">
        <w:rPr>
          <w:sz w:val="22"/>
          <w:szCs w:val="22"/>
        </w:rPr>
        <w:t xml:space="preserve">he report </w:t>
      </w:r>
      <w:r>
        <w:rPr>
          <w:sz w:val="22"/>
          <w:szCs w:val="22"/>
        </w:rPr>
        <w:t>will</w:t>
      </w:r>
      <w:r w:rsidRPr="00975818">
        <w:rPr>
          <w:sz w:val="22"/>
          <w:szCs w:val="22"/>
        </w:rPr>
        <w:t xml:space="preserve"> include:  </w:t>
      </w:r>
    </w:p>
    <w:p w:rsidR="006057C2" w:rsidRDefault="006057C2" w:rsidP="006057C2">
      <w:pPr>
        <w:pStyle w:val="ListParagraph"/>
        <w:widowControl w:val="0"/>
        <w:numPr>
          <w:ilvl w:val="0"/>
          <w:numId w:val="26"/>
        </w:numPr>
        <w:tabs>
          <w:tab w:val="clear" w:pos="720"/>
          <w:tab w:val="num" w:pos="360"/>
        </w:tabs>
        <w:spacing w:after="120"/>
        <w:ind w:left="360"/>
        <w:contextualSpacing w:val="0"/>
        <w:rPr>
          <w:sz w:val="22"/>
          <w:szCs w:val="22"/>
        </w:rPr>
      </w:pPr>
      <w:r>
        <w:rPr>
          <w:sz w:val="22"/>
          <w:szCs w:val="22"/>
        </w:rPr>
        <w:t>D</w:t>
      </w:r>
      <w:r w:rsidRPr="001E460E">
        <w:rPr>
          <w:sz w:val="22"/>
          <w:szCs w:val="22"/>
        </w:rPr>
        <w:t xml:space="preserve">aily averages of boiler operating parameters to include heat input, steam generation, fuel mixtures (cane bagasse, sorghum bagasse, supplemental biomass fuel and natural gas) and corresponding weights of each </w:t>
      </w:r>
      <w:r w:rsidR="00BB233A">
        <w:rPr>
          <w:sz w:val="22"/>
          <w:szCs w:val="22"/>
        </w:rPr>
        <w:t>biomass and MM</w:t>
      </w:r>
      <w:r w:rsidRPr="001E460E">
        <w:rPr>
          <w:sz w:val="22"/>
          <w:szCs w:val="22"/>
        </w:rPr>
        <w:t>scf of natural gas burned</w:t>
      </w:r>
      <w:r>
        <w:rPr>
          <w:sz w:val="22"/>
          <w:szCs w:val="22"/>
        </w:rPr>
        <w:t xml:space="preserve"> as </w:t>
      </w:r>
      <w:r w:rsidRPr="001E460E">
        <w:rPr>
          <w:sz w:val="22"/>
          <w:szCs w:val="22"/>
        </w:rPr>
        <w:t xml:space="preserve">fuel used including each supplemental fuel (energy crops, wood chips and vegetative debris); </w:t>
      </w:r>
    </w:p>
    <w:p w:rsidR="006057C2" w:rsidRDefault="006057C2" w:rsidP="006057C2">
      <w:pPr>
        <w:pStyle w:val="ListParagraph"/>
        <w:widowControl w:val="0"/>
        <w:numPr>
          <w:ilvl w:val="0"/>
          <w:numId w:val="26"/>
        </w:numPr>
        <w:tabs>
          <w:tab w:val="clear" w:pos="720"/>
          <w:tab w:val="num" w:pos="360"/>
        </w:tabs>
        <w:spacing w:after="120"/>
        <w:ind w:left="360"/>
        <w:contextualSpacing w:val="0"/>
        <w:rPr>
          <w:sz w:val="22"/>
          <w:szCs w:val="22"/>
        </w:rPr>
      </w:pPr>
      <w:r>
        <w:rPr>
          <w:sz w:val="22"/>
          <w:szCs w:val="22"/>
        </w:rPr>
        <w:t>D</w:t>
      </w:r>
      <w:r w:rsidRPr="001E460E">
        <w:rPr>
          <w:sz w:val="22"/>
          <w:szCs w:val="22"/>
        </w:rPr>
        <w:t>aily NO</w:t>
      </w:r>
      <w:r w:rsidRPr="001E460E">
        <w:rPr>
          <w:sz w:val="22"/>
          <w:szCs w:val="22"/>
          <w:vertAlign w:val="subscript"/>
        </w:rPr>
        <w:t>X</w:t>
      </w:r>
      <w:r>
        <w:rPr>
          <w:sz w:val="22"/>
          <w:szCs w:val="22"/>
        </w:rPr>
        <w:t xml:space="preserve"> and CO CEMS data in lb/MM</w:t>
      </w:r>
      <w:r w:rsidRPr="001E460E">
        <w:rPr>
          <w:sz w:val="22"/>
          <w:szCs w:val="22"/>
        </w:rPr>
        <w:t xml:space="preserve">Btu and lb/hr, </w:t>
      </w:r>
      <w:r>
        <w:rPr>
          <w:sz w:val="22"/>
          <w:szCs w:val="22"/>
        </w:rPr>
        <w:t xml:space="preserve">all HAP and VOC </w:t>
      </w:r>
      <w:r w:rsidRPr="001E460E">
        <w:rPr>
          <w:sz w:val="22"/>
          <w:szCs w:val="22"/>
        </w:rPr>
        <w:t xml:space="preserve">stack test results from both the boiler stack and ethanol </w:t>
      </w:r>
      <w:r>
        <w:rPr>
          <w:sz w:val="22"/>
          <w:szCs w:val="22"/>
        </w:rPr>
        <w:t>process scrubber stacks in lb/MM</w:t>
      </w:r>
      <w:r w:rsidRPr="001E460E">
        <w:rPr>
          <w:sz w:val="22"/>
          <w:szCs w:val="22"/>
        </w:rPr>
        <w:t xml:space="preserve">Btu and lb/hr, all maintenance actions performed on the </w:t>
      </w:r>
      <w:r>
        <w:rPr>
          <w:sz w:val="22"/>
          <w:szCs w:val="22"/>
        </w:rPr>
        <w:t>o</w:t>
      </w:r>
      <w:r w:rsidRPr="001E460E">
        <w:rPr>
          <w:sz w:val="22"/>
          <w:szCs w:val="22"/>
        </w:rPr>
        <w:t>x-cat system</w:t>
      </w:r>
      <w:r>
        <w:rPr>
          <w:sz w:val="22"/>
          <w:szCs w:val="22"/>
        </w:rPr>
        <w:t>;</w:t>
      </w:r>
      <w:r w:rsidRPr="001E460E">
        <w:rPr>
          <w:sz w:val="22"/>
          <w:szCs w:val="22"/>
        </w:rPr>
        <w:t xml:space="preserve"> and</w:t>
      </w:r>
    </w:p>
    <w:p w:rsidR="006057C2" w:rsidRDefault="006057C2" w:rsidP="006057C2">
      <w:pPr>
        <w:pStyle w:val="ListParagraph"/>
        <w:widowControl w:val="0"/>
        <w:numPr>
          <w:ilvl w:val="0"/>
          <w:numId w:val="26"/>
        </w:numPr>
        <w:tabs>
          <w:tab w:val="clear" w:pos="720"/>
          <w:tab w:val="num" w:pos="360"/>
        </w:tabs>
        <w:spacing w:after="120"/>
        <w:ind w:left="360"/>
        <w:contextualSpacing w:val="0"/>
        <w:rPr>
          <w:sz w:val="22"/>
          <w:szCs w:val="22"/>
        </w:rPr>
      </w:pPr>
      <w:r>
        <w:rPr>
          <w:sz w:val="22"/>
          <w:szCs w:val="22"/>
        </w:rPr>
        <w:t>I</w:t>
      </w:r>
      <w:r w:rsidRPr="001E460E">
        <w:rPr>
          <w:sz w:val="22"/>
          <w:szCs w:val="22"/>
        </w:rPr>
        <w:t xml:space="preserve">f necessary, a recommendation for the </w:t>
      </w:r>
      <w:r>
        <w:rPr>
          <w:sz w:val="22"/>
          <w:szCs w:val="22"/>
        </w:rPr>
        <w:t>o</w:t>
      </w:r>
      <w:r w:rsidRPr="001E460E">
        <w:rPr>
          <w:sz w:val="22"/>
          <w:szCs w:val="22"/>
        </w:rPr>
        <w:t xml:space="preserve">x-cat system removal with supporting justification or any requested permit modification </w:t>
      </w:r>
      <w:r>
        <w:rPr>
          <w:sz w:val="22"/>
          <w:szCs w:val="22"/>
        </w:rPr>
        <w:t>for</w:t>
      </w:r>
      <w:r w:rsidRPr="001E460E">
        <w:rPr>
          <w:sz w:val="22"/>
          <w:szCs w:val="22"/>
        </w:rPr>
        <w:t xml:space="preserve"> the continue</w:t>
      </w:r>
      <w:r>
        <w:rPr>
          <w:sz w:val="22"/>
          <w:szCs w:val="22"/>
        </w:rPr>
        <w:t>d</w:t>
      </w:r>
      <w:r w:rsidRPr="001E460E">
        <w:rPr>
          <w:sz w:val="22"/>
          <w:szCs w:val="22"/>
        </w:rPr>
        <w:t xml:space="preserve"> use of the </w:t>
      </w:r>
      <w:r>
        <w:rPr>
          <w:sz w:val="22"/>
          <w:szCs w:val="22"/>
        </w:rPr>
        <w:t>o</w:t>
      </w:r>
      <w:r w:rsidRPr="001E460E">
        <w:rPr>
          <w:sz w:val="22"/>
          <w:szCs w:val="22"/>
        </w:rPr>
        <w:t xml:space="preserve">x-cat system.  </w:t>
      </w:r>
    </w:p>
    <w:p w:rsidR="006057C2" w:rsidRPr="001E460E" w:rsidRDefault="006057C2" w:rsidP="006057C2">
      <w:pPr>
        <w:widowControl w:val="0"/>
        <w:spacing w:after="120"/>
        <w:rPr>
          <w:sz w:val="22"/>
          <w:szCs w:val="22"/>
        </w:rPr>
      </w:pPr>
      <w:r w:rsidRPr="001E460E">
        <w:rPr>
          <w:sz w:val="22"/>
          <w:szCs w:val="22"/>
        </w:rPr>
        <w:t xml:space="preserve">Based on all the data (boiler parameters, pollutant and HAP emissions and maintenance actions) in the test report, the Department will either adjust the CO </w:t>
      </w:r>
      <w:r>
        <w:rPr>
          <w:sz w:val="22"/>
          <w:szCs w:val="22"/>
        </w:rPr>
        <w:t xml:space="preserve">and VOC </w:t>
      </w:r>
      <w:r w:rsidRPr="001E460E">
        <w:rPr>
          <w:sz w:val="22"/>
          <w:szCs w:val="22"/>
        </w:rPr>
        <w:t>emission limit</w:t>
      </w:r>
      <w:r>
        <w:rPr>
          <w:sz w:val="22"/>
          <w:szCs w:val="22"/>
        </w:rPr>
        <w:t>s</w:t>
      </w:r>
      <w:r w:rsidRPr="001E460E">
        <w:rPr>
          <w:sz w:val="22"/>
          <w:szCs w:val="22"/>
        </w:rPr>
        <w:t xml:space="preserve"> downward to reflect the actual CO </w:t>
      </w:r>
      <w:r>
        <w:rPr>
          <w:sz w:val="22"/>
          <w:szCs w:val="22"/>
        </w:rPr>
        <w:t xml:space="preserve">and VOC </w:t>
      </w:r>
      <w:r w:rsidRPr="001E460E">
        <w:rPr>
          <w:sz w:val="22"/>
          <w:szCs w:val="22"/>
        </w:rPr>
        <w:t>emission rate</w:t>
      </w:r>
      <w:r>
        <w:rPr>
          <w:sz w:val="22"/>
          <w:szCs w:val="22"/>
        </w:rPr>
        <w:t>s</w:t>
      </w:r>
      <w:r w:rsidRPr="001E460E">
        <w:rPr>
          <w:sz w:val="22"/>
          <w:szCs w:val="22"/>
        </w:rPr>
        <w:t xml:space="preserve"> or allow removal of the </w:t>
      </w:r>
      <w:r>
        <w:rPr>
          <w:sz w:val="22"/>
          <w:szCs w:val="22"/>
        </w:rPr>
        <w:t>o</w:t>
      </w:r>
      <w:r w:rsidRPr="001E460E">
        <w:rPr>
          <w:sz w:val="22"/>
          <w:szCs w:val="22"/>
        </w:rPr>
        <w:t xml:space="preserve">x-cat system.  If the </w:t>
      </w:r>
      <w:r>
        <w:rPr>
          <w:sz w:val="22"/>
          <w:szCs w:val="22"/>
        </w:rPr>
        <w:t>o</w:t>
      </w:r>
      <w:r w:rsidRPr="001E460E">
        <w:rPr>
          <w:sz w:val="22"/>
          <w:szCs w:val="22"/>
        </w:rPr>
        <w:t>x-cat system is removed, the CO emission limit will remain 0.30 lb/</w:t>
      </w:r>
      <w:r>
        <w:rPr>
          <w:sz w:val="22"/>
          <w:szCs w:val="22"/>
        </w:rPr>
        <w:t>MM</w:t>
      </w:r>
      <w:r w:rsidR="00700C27">
        <w:rPr>
          <w:sz w:val="22"/>
          <w:szCs w:val="22"/>
        </w:rPr>
        <w:t>Btu on a 30-</w:t>
      </w:r>
      <w:r w:rsidRPr="001E460E">
        <w:rPr>
          <w:sz w:val="22"/>
          <w:szCs w:val="22"/>
        </w:rPr>
        <w:t>day rolling average basis</w:t>
      </w:r>
      <w:r>
        <w:rPr>
          <w:sz w:val="22"/>
          <w:szCs w:val="22"/>
        </w:rPr>
        <w:t xml:space="preserve"> and the VOC limit will remain at 0.017 lb/MMBtu</w:t>
      </w:r>
      <w:r w:rsidRPr="001E460E">
        <w:rPr>
          <w:sz w:val="22"/>
          <w:szCs w:val="22"/>
        </w:rPr>
        <w:t xml:space="preserve">. </w:t>
      </w:r>
    </w:p>
    <w:p w:rsidR="006057C2" w:rsidRDefault="006057C2" w:rsidP="006057C2">
      <w:pPr>
        <w:widowControl w:val="0"/>
        <w:spacing w:after="120"/>
        <w:rPr>
          <w:color w:val="000000" w:themeColor="text1"/>
          <w:sz w:val="22"/>
          <w:szCs w:val="22"/>
        </w:rPr>
      </w:pPr>
      <w:r w:rsidRPr="00CD2276">
        <w:rPr>
          <w:sz w:val="22"/>
          <w:szCs w:val="22"/>
        </w:rPr>
        <w:t xml:space="preserve">Compliance </w:t>
      </w:r>
      <w:r>
        <w:rPr>
          <w:sz w:val="22"/>
          <w:szCs w:val="22"/>
        </w:rPr>
        <w:t xml:space="preserve">with the CO limit </w:t>
      </w:r>
      <w:r w:rsidRPr="00CD2276">
        <w:rPr>
          <w:sz w:val="22"/>
          <w:szCs w:val="22"/>
        </w:rPr>
        <w:t>shall be demonstrated by a</w:t>
      </w:r>
      <w:r>
        <w:rPr>
          <w:sz w:val="22"/>
          <w:szCs w:val="22"/>
        </w:rPr>
        <w:t xml:space="preserve"> CO</w:t>
      </w:r>
      <w:r w:rsidR="00E81800">
        <w:rPr>
          <w:sz w:val="22"/>
          <w:szCs w:val="22"/>
        </w:rPr>
        <w:t xml:space="preserve"> </w:t>
      </w:r>
      <w:r w:rsidRPr="00CD2276">
        <w:rPr>
          <w:sz w:val="22"/>
          <w:szCs w:val="22"/>
        </w:rPr>
        <w:t>CEMS.</w:t>
      </w:r>
      <w:r>
        <w:rPr>
          <w:sz w:val="22"/>
          <w:szCs w:val="22"/>
        </w:rPr>
        <w:t xml:space="preserve">  </w:t>
      </w:r>
      <w:r>
        <w:rPr>
          <w:color w:val="000000" w:themeColor="text1"/>
          <w:sz w:val="22"/>
          <w:szCs w:val="22"/>
        </w:rPr>
        <w:t>I</w:t>
      </w:r>
      <w:r w:rsidRPr="00B76558">
        <w:rPr>
          <w:color w:val="000000" w:themeColor="text1"/>
          <w:sz w:val="22"/>
          <w:szCs w:val="22"/>
        </w:rPr>
        <w:t xml:space="preserve">nitial and annual </w:t>
      </w:r>
      <w:r>
        <w:rPr>
          <w:color w:val="000000" w:themeColor="text1"/>
          <w:sz w:val="22"/>
          <w:szCs w:val="22"/>
        </w:rPr>
        <w:t xml:space="preserve">VOC compliance </w:t>
      </w:r>
      <w:r w:rsidRPr="00B76558">
        <w:rPr>
          <w:color w:val="000000" w:themeColor="text1"/>
          <w:sz w:val="22"/>
          <w:szCs w:val="22"/>
        </w:rPr>
        <w:t>tests will be required.</w:t>
      </w:r>
    </w:p>
    <w:p w:rsidR="006057C2" w:rsidRDefault="006057C2" w:rsidP="006057C2">
      <w:pPr>
        <w:widowControl w:val="0"/>
        <w:spacing w:after="120"/>
        <w:rPr>
          <w:color w:val="000000" w:themeColor="text1"/>
          <w:sz w:val="22"/>
          <w:szCs w:val="22"/>
        </w:rPr>
      </w:pPr>
      <w:r>
        <w:rPr>
          <w:color w:val="000000" w:themeColor="text1"/>
          <w:sz w:val="22"/>
          <w:szCs w:val="22"/>
        </w:rPr>
        <w:t>While the supplier and applicant have expressed some doubts regarding the lifetime of the catalyst, the Department notes that the biomass fired will be fairly consistent and there should be few unknown or unexpected species that will get past the ESP and p</w:t>
      </w:r>
      <w:r w:rsidR="00BB233A">
        <w:rPr>
          <w:color w:val="000000" w:themeColor="text1"/>
          <w:sz w:val="22"/>
          <w:szCs w:val="22"/>
        </w:rPr>
        <w:t>oison the catalyst.</w:t>
      </w:r>
    </w:p>
    <w:p w:rsidR="006057C2" w:rsidRPr="00354D1F" w:rsidRDefault="0001633E" w:rsidP="006F4F9E">
      <w:pPr>
        <w:widowControl w:val="0"/>
        <w:spacing w:after="120"/>
        <w:rPr>
          <w:sz w:val="22"/>
          <w:szCs w:val="22"/>
        </w:rPr>
      </w:pPr>
      <w:r>
        <w:rPr>
          <w:color w:val="000000" w:themeColor="text1"/>
          <w:sz w:val="22"/>
          <w:szCs w:val="22"/>
        </w:rPr>
        <w:t xml:space="preserve">As a secondary BACT limit, the Department will adopt the work practice standards to which the boiler will be subject in NESHAP Subpart DDDDD (the “Boiler MACT”).  These include the use of a handful of clean fuels for startup and the requirement for a periodic boiler tune-up. </w:t>
      </w:r>
    </w:p>
    <w:p w:rsidR="00190881" w:rsidRDefault="006F4F9E" w:rsidP="006F4F9E">
      <w:pPr>
        <w:pStyle w:val="ListParagraph"/>
        <w:widowControl w:val="0"/>
        <w:numPr>
          <w:ilvl w:val="1"/>
          <w:numId w:val="15"/>
        </w:numPr>
        <w:spacing w:before="120" w:after="120"/>
        <w:ind w:left="720" w:hanging="720"/>
        <w:contextualSpacing w:val="0"/>
        <w:rPr>
          <w:b/>
          <w:sz w:val="22"/>
          <w:szCs w:val="22"/>
        </w:rPr>
      </w:pPr>
      <w:r>
        <w:rPr>
          <w:b/>
          <w:sz w:val="22"/>
          <w:szCs w:val="22"/>
        </w:rPr>
        <w:t>S</w:t>
      </w:r>
      <w:r w:rsidR="00190881">
        <w:rPr>
          <w:b/>
          <w:sz w:val="22"/>
          <w:szCs w:val="22"/>
        </w:rPr>
        <w:t>O</w:t>
      </w:r>
      <w:r>
        <w:rPr>
          <w:b/>
          <w:sz w:val="22"/>
          <w:szCs w:val="22"/>
          <w:vertAlign w:val="subscript"/>
        </w:rPr>
        <w:t>2</w:t>
      </w:r>
      <w:r w:rsidR="00190881">
        <w:rPr>
          <w:b/>
          <w:sz w:val="22"/>
          <w:szCs w:val="22"/>
        </w:rPr>
        <w:t xml:space="preserve"> Emissions</w:t>
      </w:r>
    </w:p>
    <w:p w:rsidR="00190881" w:rsidRPr="00155062" w:rsidRDefault="00190881" w:rsidP="006F4F9E">
      <w:pPr>
        <w:pStyle w:val="ListParagraph"/>
        <w:widowControl w:val="0"/>
        <w:numPr>
          <w:ilvl w:val="2"/>
          <w:numId w:val="15"/>
        </w:numPr>
        <w:spacing w:after="120"/>
        <w:ind w:left="720" w:hanging="720"/>
        <w:jc w:val="both"/>
        <w:rPr>
          <w:sz w:val="22"/>
          <w:szCs w:val="22"/>
          <w:u w:val="single"/>
        </w:rPr>
      </w:pPr>
      <w:r w:rsidRPr="00155062">
        <w:rPr>
          <w:sz w:val="22"/>
          <w:szCs w:val="22"/>
          <w:u w:val="single"/>
        </w:rPr>
        <w:t>Discussion</w:t>
      </w:r>
    </w:p>
    <w:p w:rsidR="00C323B3" w:rsidRPr="00C323B3" w:rsidRDefault="00C323B3" w:rsidP="00C323B3">
      <w:pPr>
        <w:widowControl w:val="0"/>
        <w:spacing w:after="120"/>
        <w:rPr>
          <w:sz w:val="22"/>
          <w:szCs w:val="22"/>
        </w:rPr>
      </w:pPr>
      <w:r w:rsidRPr="00C323B3">
        <w:rPr>
          <w:sz w:val="22"/>
          <w:szCs w:val="22"/>
        </w:rPr>
        <w:t>SO</w:t>
      </w:r>
      <w:r w:rsidRPr="00C323B3">
        <w:rPr>
          <w:sz w:val="22"/>
          <w:szCs w:val="22"/>
          <w:vertAlign w:val="subscript"/>
        </w:rPr>
        <w:t>2</w:t>
      </w:r>
      <w:r w:rsidRPr="00C323B3">
        <w:rPr>
          <w:sz w:val="22"/>
          <w:szCs w:val="22"/>
        </w:rPr>
        <w:t xml:space="preserve"> is formed from sulfur contained in fuels.  Sulfur in the fuel reacts with atmospheric oxygen to form SO</w:t>
      </w:r>
      <w:r w:rsidRPr="00C323B3">
        <w:rPr>
          <w:sz w:val="22"/>
          <w:szCs w:val="22"/>
          <w:vertAlign w:val="subscript"/>
        </w:rPr>
        <w:t>2</w:t>
      </w:r>
      <w:r w:rsidRPr="00C323B3">
        <w:rPr>
          <w:sz w:val="22"/>
          <w:szCs w:val="22"/>
        </w:rPr>
        <w:t>.  SAM is formed by further oxidation of SO</w:t>
      </w:r>
      <w:r w:rsidRPr="00C323B3">
        <w:rPr>
          <w:sz w:val="22"/>
          <w:szCs w:val="22"/>
          <w:vertAlign w:val="subscript"/>
        </w:rPr>
        <w:t>2</w:t>
      </w:r>
      <w:r w:rsidRPr="00C323B3">
        <w:rPr>
          <w:sz w:val="14"/>
          <w:szCs w:val="14"/>
        </w:rPr>
        <w:t xml:space="preserve"> </w:t>
      </w:r>
      <w:r w:rsidRPr="00C323B3">
        <w:rPr>
          <w:sz w:val="22"/>
          <w:szCs w:val="22"/>
        </w:rPr>
        <w:t>to sulfur trioxide (SO</w:t>
      </w:r>
      <w:r w:rsidRPr="00C323B3">
        <w:rPr>
          <w:sz w:val="22"/>
          <w:szCs w:val="22"/>
          <w:vertAlign w:val="subscript"/>
        </w:rPr>
        <w:t>3</w:t>
      </w:r>
      <w:r w:rsidRPr="00C323B3">
        <w:rPr>
          <w:sz w:val="22"/>
          <w:szCs w:val="22"/>
        </w:rPr>
        <w:t>) prior to exiting the process. SO</w:t>
      </w:r>
      <w:r w:rsidRPr="00C323B3">
        <w:rPr>
          <w:sz w:val="22"/>
          <w:szCs w:val="22"/>
          <w:vertAlign w:val="subscript"/>
        </w:rPr>
        <w:t>3</w:t>
      </w:r>
      <w:r w:rsidRPr="00C323B3">
        <w:rPr>
          <w:sz w:val="14"/>
          <w:szCs w:val="14"/>
        </w:rPr>
        <w:t xml:space="preserve"> </w:t>
      </w:r>
      <w:r w:rsidRPr="00C323B3">
        <w:rPr>
          <w:sz w:val="22"/>
          <w:szCs w:val="22"/>
        </w:rPr>
        <w:t>readily combines with water vapor (H</w:t>
      </w:r>
      <w:r w:rsidRPr="00C323B3">
        <w:rPr>
          <w:sz w:val="22"/>
          <w:szCs w:val="22"/>
          <w:vertAlign w:val="subscript"/>
        </w:rPr>
        <w:t>2</w:t>
      </w:r>
      <w:r w:rsidRPr="00C323B3">
        <w:rPr>
          <w:sz w:val="22"/>
          <w:szCs w:val="22"/>
        </w:rPr>
        <w:t>O) available in flue gas to form SAM.  SO</w:t>
      </w:r>
      <w:r w:rsidRPr="00C323B3">
        <w:rPr>
          <w:sz w:val="22"/>
          <w:szCs w:val="22"/>
          <w:vertAlign w:val="subscript"/>
        </w:rPr>
        <w:t>2</w:t>
      </w:r>
      <w:r w:rsidRPr="00C323B3">
        <w:rPr>
          <w:sz w:val="22"/>
          <w:szCs w:val="22"/>
        </w:rPr>
        <w:t xml:space="preserve"> is an important precursor of secondary particulate matter formed in the atmosphere, frequently in the form of ammonium sulfate, (NH</w:t>
      </w:r>
      <w:r w:rsidRPr="00C323B3">
        <w:rPr>
          <w:sz w:val="22"/>
          <w:szCs w:val="22"/>
          <w:vertAlign w:val="subscript"/>
        </w:rPr>
        <w:t>4</w:t>
      </w:r>
      <w:r w:rsidRPr="00C323B3">
        <w:rPr>
          <w:sz w:val="22"/>
          <w:szCs w:val="22"/>
        </w:rPr>
        <w:t>)</w:t>
      </w:r>
      <w:r w:rsidRPr="00C323B3">
        <w:rPr>
          <w:sz w:val="22"/>
          <w:szCs w:val="22"/>
          <w:vertAlign w:val="subscript"/>
        </w:rPr>
        <w:t>2</w:t>
      </w:r>
      <w:r w:rsidRPr="00C323B3">
        <w:rPr>
          <w:sz w:val="22"/>
          <w:szCs w:val="22"/>
        </w:rPr>
        <w:t>SO</w:t>
      </w:r>
      <w:r w:rsidRPr="00C323B3">
        <w:rPr>
          <w:sz w:val="22"/>
          <w:szCs w:val="22"/>
          <w:vertAlign w:val="subscript"/>
        </w:rPr>
        <w:t>4</w:t>
      </w:r>
      <w:r w:rsidRPr="00C323B3">
        <w:rPr>
          <w:sz w:val="22"/>
          <w:szCs w:val="22"/>
        </w:rPr>
        <w:t>.  In the absence of add-on controls or internal scrubbing in the process, the amount of sulfur emitted from the process in the form of SO</w:t>
      </w:r>
      <w:r w:rsidRPr="00C323B3">
        <w:rPr>
          <w:sz w:val="22"/>
          <w:szCs w:val="22"/>
          <w:vertAlign w:val="subscript"/>
        </w:rPr>
        <w:t>2</w:t>
      </w:r>
      <w:r w:rsidRPr="00C323B3">
        <w:rPr>
          <w:sz w:val="22"/>
          <w:szCs w:val="22"/>
        </w:rPr>
        <w:t xml:space="preserve"> or SAM is generally equal to the amount of sulfur entering the process with fuels.</w:t>
      </w:r>
    </w:p>
    <w:p w:rsidR="006F4F9E" w:rsidRDefault="00C323B3" w:rsidP="00C323B3">
      <w:pPr>
        <w:widowControl w:val="0"/>
        <w:spacing w:after="120"/>
        <w:rPr>
          <w:sz w:val="22"/>
          <w:szCs w:val="22"/>
        </w:rPr>
      </w:pPr>
      <w:r>
        <w:rPr>
          <w:sz w:val="22"/>
          <w:szCs w:val="22"/>
        </w:rPr>
        <w:t>Potential technically feasible control technologies for SO</w:t>
      </w:r>
      <w:r w:rsidRPr="00C323B3">
        <w:rPr>
          <w:sz w:val="22"/>
          <w:szCs w:val="22"/>
          <w:vertAlign w:val="subscript"/>
        </w:rPr>
        <w:t>2</w:t>
      </w:r>
      <w:r>
        <w:rPr>
          <w:sz w:val="22"/>
          <w:szCs w:val="22"/>
        </w:rPr>
        <w:t xml:space="preserve"> include wet or dry sorbent injection, wet flue gas desulfurization, a spray dryer, regenerative flue gas desulfurization, and low-sulfur fuels.  These were evaluated in the original BACT determination for this project and have not changed appreciably since 2011.</w:t>
      </w:r>
    </w:p>
    <w:p w:rsidR="00C51269" w:rsidRPr="00C323B3" w:rsidRDefault="00C51269" w:rsidP="00C323B3">
      <w:pPr>
        <w:widowControl w:val="0"/>
        <w:spacing w:after="120"/>
        <w:rPr>
          <w:sz w:val="22"/>
          <w:szCs w:val="22"/>
        </w:rPr>
      </w:pPr>
      <w:r>
        <w:rPr>
          <w:sz w:val="22"/>
          <w:szCs w:val="22"/>
        </w:rPr>
        <w:t>For boilers that combust natural gas, or a mixture of natural gas and other fuels, Subpart Db imposes a limit for SO</w:t>
      </w:r>
      <w:r w:rsidRPr="00C51269">
        <w:rPr>
          <w:sz w:val="22"/>
          <w:szCs w:val="22"/>
          <w:vertAlign w:val="subscript"/>
        </w:rPr>
        <w:t>2</w:t>
      </w:r>
      <w:r>
        <w:rPr>
          <w:sz w:val="22"/>
          <w:szCs w:val="22"/>
        </w:rPr>
        <w:t xml:space="preserve"> emissions of 0.20 lb/MMBtu.  However, units firing only natural gas and a mix of other fuels with a potential SO</w:t>
      </w:r>
      <w:r w:rsidRPr="00C51269">
        <w:rPr>
          <w:sz w:val="22"/>
          <w:szCs w:val="22"/>
          <w:vertAlign w:val="subscript"/>
        </w:rPr>
        <w:t>2</w:t>
      </w:r>
      <w:r>
        <w:rPr>
          <w:sz w:val="22"/>
          <w:szCs w:val="22"/>
        </w:rPr>
        <w:t xml:space="preserve"> emissions rate of 0.32 lb/MMBtu or less are exempt from this SO</w:t>
      </w:r>
      <w:r w:rsidRPr="00C51269">
        <w:rPr>
          <w:sz w:val="22"/>
          <w:szCs w:val="22"/>
          <w:vertAlign w:val="subscript"/>
        </w:rPr>
        <w:t>2</w:t>
      </w:r>
      <w:r>
        <w:rPr>
          <w:sz w:val="22"/>
          <w:szCs w:val="22"/>
        </w:rPr>
        <w:t xml:space="preserve"> limit.  The natural gas/bagasse mixture meets this exemption criterion, so the boiler is not subject to a limit on SO</w:t>
      </w:r>
      <w:r w:rsidRPr="00C51269">
        <w:rPr>
          <w:sz w:val="22"/>
          <w:szCs w:val="22"/>
          <w:vertAlign w:val="subscript"/>
        </w:rPr>
        <w:t>2</w:t>
      </w:r>
      <w:r>
        <w:rPr>
          <w:sz w:val="22"/>
          <w:szCs w:val="22"/>
        </w:rPr>
        <w:t xml:space="preserve"> under Subpart Db.</w:t>
      </w:r>
    </w:p>
    <w:p w:rsidR="00190881" w:rsidRPr="00155062" w:rsidRDefault="00190881" w:rsidP="00C323B3">
      <w:pPr>
        <w:pStyle w:val="ListParagraph"/>
        <w:widowControl w:val="0"/>
        <w:numPr>
          <w:ilvl w:val="2"/>
          <w:numId w:val="15"/>
        </w:numPr>
        <w:spacing w:after="120"/>
        <w:ind w:left="720" w:hanging="720"/>
        <w:jc w:val="both"/>
        <w:rPr>
          <w:sz w:val="22"/>
          <w:szCs w:val="22"/>
          <w:u w:val="single"/>
        </w:rPr>
      </w:pPr>
      <w:r w:rsidRPr="00155062">
        <w:rPr>
          <w:sz w:val="22"/>
          <w:szCs w:val="22"/>
          <w:u w:val="single"/>
        </w:rPr>
        <w:t>Applicant’s Proposal</w:t>
      </w:r>
    </w:p>
    <w:p w:rsidR="00190881" w:rsidRDefault="00C323B3" w:rsidP="00C323B3">
      <w:pPr>
        <w:widowControl w:val="0"/>
        <w:spacing w:after="120"/>
        <w:rPr>
          <w:sz w:val="22"/>
          <w:szCs w:val="22"/>
        </w:rPr>
      </w:pPr>
      <w:r>
        <w:rPr>
          <w:sz w:val="22"/>
          <w:szCs w:val="22"/>
        </w:rPr>
        <w:t>The applicant requests that the current SO</w:t>
      </w:r>
      <w:r w:rsidRPr="00C323B3">
        <w:rPr>
          <w:sz w:val="22"/>
          <w:szCs w:val="22"/>
          <w:vertAlign w:val="subscript"/>
        </w:rPr>
        <w:t>2</w:t>
      </w:r>
      <w:r>
        <w:rPr>
          <w:sz w:val="22"/>
          <w:szCs w:val="22"/>
        </w:rPr>
        <w:t xml:space="preserve"> BACT limit of 0.060 lb/MMBtu, on a 30-day rolling basis, by CEMS, be reaffirmed.</w:t>
      </w:r>
      <w:r w:rsidR="000C58EC">
        <w:rPr>
          <w:sz w:val="22"/>
          <w:szCs w:val="22"/>
        </w:rPr>
        <w:t xml:space="preserve">  This limit relies primarily on the low sulfur content of bagasse and the inherent alkalinity </w:t>
      </w:r>
      <w:r w:rsidR="000C58EC">
        <w:rPr>
          <w:sz w:val="22"/>
          <w:szCs w:val="22"/>
        </w:rPr>
        <w:lastRenderedPageBreak/>
        <w:t>and scrubbing potential of this fuel.  The original BACT determination also included the use of dry sorbent injection; however, this was primarily for the control of HCl emissions, in order to avoid the status of a major source of HAP emissions.  Because the facility has decided to accept major HAP status, the dry sorbent injection to reduce HCl emissions is no longer necessary.  Therefore the applicant has requested that dry sorbent injection not be considered part of BACT for SO</w:t>
      </w:r>
      <w:r w:rsidR="000C58EC" w:rsidRPr="000C58EC">
        <w:rPr>
          <w:sz w:val="22"/>
          <w:szCs w:val="22"/>
          <w:vertAlign w:val="subscript"/>
        </w:rPr>
        <w:t>2</w:t>
      </w:r>
      <w:r w:rsidR="000C58EC">
        <w:rPr>
          <w:sz w:val="22"/>
          <w:szCs w:val="22"/>
        </w:rPr>
        <w:t xml:space="preserve"> for this project.</w:t>
      </w:r>
    </w:p>
    <w:p w:rsidR="009F462C" w:rsidRPr="00C323B3" w:rsidRDefault="009F462C" w:rsidP="00C323B3">
      <w:pPr>
        <w:widowControl w:val="0"/>
        <w:spacing w:after="120"/>
        <w:rPr>
          <w:sz w:val="22"/>
          <w:szCs w:val="22"/>
        </w:rPr>
      </w:pPr>
      <w:r>
        <w:rPr>
          <w:sz w:val="22"/>
          <w:szCs w:val="22"/>
        </w:rPr>
        <w:t>To ensure that the short-term (1-hour) ambient standard for SO</w:t>
      </w:r>
      <w:r w:rsidRPr="002D13E5">
        <w:rPr>
          <w:sz w:val="22"/>
          <w:szCs w:val="22"/>
          <w:vertAlign w:val="subscript"/>
        </w:rPr>
        <w:t>2</w:t>
      </w:r>
      <w:r>
        <w:rPr>
          <w:sz w:val="22"/>
          <w:szCs w:val="22"/>
        </w:rPr>
        <w:t xml:space="preserve"> is met, the applicant has proposed </w:t>
      </w:r>
      <w:r w:rsidR="009C691C">
        <w:rPr>
          <w:sz w:val="22"/>
          <w:szCs w:val="22"/>
        </w:rPr>
        <w:t>a</w:t>
      </w:r>
      <w:r w:rsidR="002D13E5">
        <w:rPr>
          <w:sz w:val="22"/>
          <w:szCs w:val="22"/>
        </w:rPr>
        <w:t xml:space="preserve"> 1-hour</w:t>
      </w:r>
      <w:r w:rsidR="009C691C">
        <w:rPr>
          <w:sz w:val="22"/>
          <w:szCs w:val="22"/>
        </w:rPr>
        <w:t xml:space="preserve"> limit of 0.078 lb/MMBtu</w:t>
      </w:r>
      <w:r w:rsidR="002D13E5">
        <w:rPr>
          <w:sz w:val="22"/>
          <w:szCs w:val="22"/>
        </w:rPr>
        <w:t>, including all operation.  Emissions of SO</w:t>
      </w:r>
      <w:r w:rsidR="002D13E5" w:rsidRPr="002D13E5">
        <w:rPr>
          <w:sz w:val="22"/>
          <w:szCs w:val="22"/>
          <w:vertAlign w:val="subscript"/>
        </w:rPr>
        <w:t>2</w:t>
      </w:r>
      <w:r w:rsidR="002D13E5">
        <w:rPr>
          <w:sz w:val="22"/>
          <w:szCs w:val="22"/>
        </w:rPr>
        <w:t xml:space="preserve"> are expected to be unaffected by startup conditions, since SO</w:t>
      </w:r>
      <w:r w:rsidR="002D13E5" w:rsidRPr="002D13E5">
        <w:rPr>
          <w:sz w:val="22"/>
          <w:szCs w:val="22"/>
          <w:vertAlign w:val="subscript"/>
        </w:rPr>
        <w:t>2</w:t>
      </w:r>
      <w:r w:rsidR="002D13E5">
        <w:rPr>
          <w:sz w:val="22"/>
          <w:szCs w:val="22"/>
        </w:rPr>
        <w:t xml:space="preserve"> emissions should depend only on the amount of fuel consumed and the sulfur content of the fuel.</w:t>
      </w:r>
    </w:p>
    <w:p w:rsidR="00190881" w:rsidRPr="00155062" w:rsidRDefault="00190881" w:rsidP="000C58EC">
      <w:pPr>
        <w:pStyle w:val="ListParagraph"/>
        <w:widowControl w:val="0"/>
        <w:numPr>
          <w:ilvl w:val="2"/>
          <w:numId w:val="15"/>
        </w:numPr>
        <w:spacing w:after="120"/>
        <w:ind w:left="720" w:hanging="720"/>
        <w:rPr>
          <w:sz w:val="22"/>
          <w:szCs w:val="22"/>
          <w:u w:val="single"/>
        </w:rPr>
      </w:pPr>
      <w:r w:rsidRPr="00155062">
        <w:rPr>
          <w:sz w:val="22"/>
          <w:szCs w:val="22"/>
          <w:u w:val="single"/>
        </w:rPr>
        <w:t>Department’s Review</w:t>
      </w:r>
    </w:p>
    <w:p w:rsidR="00614117" w:rsidRDefault="000C58EC" w:rsidP="000C58EC">
      <w:pPr>
        <w:widowControl w:val="0"/>
        <w:spacing w:after="120"/>
        <w:rPr>
          <w:sz w:val="22"/>
          <w:szCs w:val="22"/>
        </w:rPr>
      </w:pPr>
      <w:r>
        <w:rPr>
          <w:sz w:val="22"/>
          <w:szCs w:val="22"/>
        </w:rPr>
        <w:t>The applicant’s requested limit is in line with</w:t>
      </w:r>
      <w:r w:rsidRPr="000C58EC">
        <w:rPr>
          <w:sz w:val="22"/>
          <w:szCs w:val="22"/>
        </w:rPr>
        <w:t xml:space="preserve"> recent SO</w:t>
      </w:r>
      <w:r w:rsidRPr="000C58EC">
        <w:rPr>
          <w:sz w:val="22"/>
          <w:szCs w:val="22"/>
          <w:vertAlign w:val="subscript"/>
        </w:rPr>
        <w:t>2</w:t>
      </w:r>
      <w:r w:rsidRPr="000C58EC">
        <w:rPr>
          <w:sz w:val="22"/>
          <w:szCs w:val="22"/>
        </w:rPr>
        <w:t xml:space="preserve"> BACT determinations for biomass-fueled boilers in Florida</w:t>
      </w:r>
      <w:r>
        <w:rPr>
          <w:sz w:val="22"/>
          <w:szCs w:val="22"/>
        </w:rPr>
        <w:t>.  The limit for U.S. Sugar Boiler No. 9, issued in 2016, is 0.064 lb/MMBtu, with compliance by annual stack test, without any add-on SO</w:t>
      </w:r>
      <w:r w:rsidRPr="000C58EC">
        <w:rPr>
          <w:sz w:val="22"/>
          <w:szCs w:val="22"/>
          <w:vertAlign w:val="subscript"/>
        </w:rPr>
        <w:t>2</w:t>
      </w:r>
      <w:r>
        <w:rPr>
          <w:sz w:val="22"/>
          <w:szCs w:val="22"/>
        </w:rPr>
        <w:t xml:space="preserve"> controls.</w:t>
      </w:r>
      <w:r w:rsidR="000B4491">
        <w:rPr>
          <w:sz w:val="22"/>
          <w:szCs w:val="22"/>
        </w:rPr>
        <w:t xml:space="preserve">  The U.S. Sugar Boiler No. 9 SO</w:t>
      </w:r>
      <w:r w:rsidR="000B4491" w:rsidRPr="000B4491">
        <w:rPr>
          <w:sz w:val="22"/>
          <w:szCs w:val="22"/>
          <w:vertAlign w:val="subscript"/>
        </w:rPr>
        <w:t>2</w:t>
      </w:r>
      <w:r w:rsidR="000B4491">
        <w:rPr>
          <w:sz w:val="22"/>
          <w:szCs w:val="22"/>
        </w:rPr>
        <w:t xml:space="preserve"> limit is 0.06 lb/MMBtu, which rounds to 0.064 lb/MMBtu.  These limits are based on an annual three-hour stack test, so they are essentially three-hour limits.  The applicant’s proposed limit of 0.060 lb/MMBtu, on a 30-day basis, is consistent with these limits.  This limit will apply at all times, including periods of startup and shutdown.  Dry sorbent injection will not be required unless the SO</w:t>
      </w:r>
      <w:r w:rsidR="000B4491" w:rsidRPr="000B4491">
        <w:rPr>
          <w:sz w:val="22"/>
          <w:szCs w:val="22"/>
          <w:vertAlign w:val="subscript"/>
        </w:rPr>
        <w:t>2</w:t>
      </w:r>
      <w:r w:rsidR="000B4491">
        <w:rPr>
          <w:sz w:val="22"/>
          <w:szCs w:val="22"/>
        </w:rPr>
        <w:t xml:space="preserve"> limit cannot be met without it.  The applicant will be required to leave space for a dry sorbent injection system in case it is needed.  However, the low sulfur content of sugarcane and sorghum bagasse, the inherent scrubbing capabilities of the bagasse ash, and the long averaging period will likely make this emission limit achievable without add-on controls.</w:t>
      </w:r>
      <w:r w:rsidR="002D13E5">
        <w:rPr>
          <w:sz w:val="22"/>
          <w:szCs w:val="22"/>
        </w:rPr>
        <w:t xml:space="preserve">  The Department will also set a</w:t>
      </w:r>
      <w:r w:rsidR="00822AAB">
        <w:rPr>
          <w:sz w:val="22"/>
          <w:szCs w:val="22"/>
        </w:rPr>
        <w:t xml:space="preserve"> 1-hour limit of 0.078 lb/MMBtu, which is consistent with the ambient modeling performed for the project, to assure that the 1-hour ambient standard for SO</w:t>
      </w:r>
      <w:r w:rsidR="00822AAB" w:rsidRPr="00822AAB">
        <w:rPr>
          <w:sz w:val="22"/>
          <w:szCs w:val="22"/>
          <w:vertAlign w:val="subscript"/>
        </w:rPr>
        <w:t>2</w:t>
      </w:r>
      <w:r w:rsidR="00822AAB">
        <w:rPr>
          <w:sz w:val="22"/>
          <w:szCs w:val="22"/>
        </w:rPr>
        <w:t xml:space="preserve"> will not be exceeded.</w:t>
      </w:r>
    </w:p>
    <w:p w:rsidR="00190881" w:rsidRDefault="00190881" w:rsidP="005B71CD">
      <w:pPr>
        <w:pStyle w:val="ListParagraph"/>
        <w:widowControl w:val="0"/>
        <w:numPr>
          <w:ilvl w:val="1"/>
          <w:numId w:val="15"/>
        </w:numPr>
        <w:spacing w:before="120" w:after="120"/>
        <w:ind w:left="720" w:hanging="720"/>
        <w:contextualSpacing w:val="0"/>
        <w:rPr>
          <w:b/>
          <w:sz w:val="22"/>
          <w:szCs w:val="22"/>
        </w:rPr>
      </w:pPr>
      <w:r>
        <w:rPr>
          <w:b/>
          <w:sz w:val="22"/>
          <w:szCs w:val="22"/>
        </w:rPr>
        <w:t>PM</w:t>
      </w:r>
      <w:r w:rsidR="00A87C4B">
        <w:rPr>
          <w:b/>
          <w:sz w:val="22"/>
          <w:szCs w:val="22"/>
        </w:rPr>
        <w:t xml:space="preserve">, </w:t>
      </w:r>
      <w:r>
        <w:rPr>
          <w:b/>
          <w:sz w:val="22"/>
          <w:szCs w:val="22"/>
        </w:rPr>
        <w:t>PM</w:t>
      </w:r>
      <w:r w:rsidRPr="00190881">
        <w:rPr>
          <w:b/>
          <w:sz w:val="22"/>
          <w:szCs w:val="22"/>
          <w:vertAlign w:val="subscript"/>
        </w:rPr>
        <w:t>10</w:t>
      </w:r>
      <w:r w:rsidR="00A87C4B">
        <w:rPr>
          <w:b/>
          <w:sz w:val="22"/>
          <w:szCs w:val="22"/>
        </w:rPr>
        <w:t>, and PM</w:t>
      </w:r>
      <w:r w:rsidR="00A87C4B" w:rsidRPr="00A87C4B">
        <w:rPr>
          <w:b/>
          <w:sz w:val="22"/>
          <w:szCs w:val="22"/>
          <w:vertAlign w:val="subscript"/>
        </w:rPr>
        <w:t>2.5</w:t>
      </w:r>
      <w:r w:rsidR="00190915">
        <w:rPr>
          <w:b/>
          <w:sz w:val="22"/>
          <w:szCs w:val="22"/>
        </w:rPr>
        <w:t xml:space="preserve"> </w:t>
      </w:r>
      <w:r>
        <w:rPr>
          <w:b/>
          <w:sz w:val="22"/>
          <w:szCs w:val="22"/>
        </w:rPr>
        <w:t>Emissions</w:t>
      </w:r>
    </w:p>
    <w:p w:rsidR="005B2D23" w:rsidRPr="00155062" w:rsidRDefault="00190881" w:rsidP="005B2D23">
      <w:pPr>
        <w:pStyle w:val="ListParagraph"/>
        <w:widowControl w:val="0"/>
        <w:numPr>
          <w:ilvl w:val="2"/>
          <w:numId w:val="15"/>
        </w:numPr>
        <w:spacing w:after="120"/>
        <w:ind w:left="720" w:hanging="720"/>
        <w:rPr>
          <w:sz w:val="22"/>
          <w:szCs w:val="22"/>
          <w:u w:val="single"/>
        </w:rPr>
      </w:pPr>
      <w:r w:rsidRPr="00155062">
        <w:rPr>
          <w:sz w:val="22"/>
          <w:szCs w:val="22"/>
          <w:u w:val="single"/>
        </w:rPr>
        <w:t>Discussion</w:t>
      </w:r>
    </w:p>
    <w:p w:rsidR="00A87C4B" w:rsidRDefault="005B2D23" w:rsidP="00A87C4B">
      <w:pPr>
        <w:widowControl w:val="0"/>
        <w:spacing w:after="120"/>
        <w:ind w:left="36"/>
        <w:rPr>
          <w:sz w:val="22"/>
          <w:szCs w:val="22"/>
        </w:rPr>
      </w:pPr>
      <w:r w:rsidRPr="005B2D23">
        <w:rPr>
          <w:sz w:val="22"/>
          <w:szCs w:val="22"/>
        </w:rPr>
        <w:t>Particulate matter is a mix of substances in the solid or liquid state in the atmosphere, excluding liquid water, of microscopic or sub-microscopic size, but larger than molecular dimensions</w:t>
      </w:r>
      <w:r>
        <w:rPr>
          <w:rStyle w:val="FootnoteReference"/>
          <w:sz w:val="22"/>
          <w:szCs w:val="22"/>
        </w:rPr>
        <w:footnoteReference w:id="5"/>
      </w:r>
      <w:r w:rsidRPr="005B2D23">
        <w:rPr>
          <w:sz w:val="22"/>
          <w:szCs w:val="22"/>
        </w:rPr>
        <w:t xml:space="preserve">.  </w:t>
      </w:r>
      <w:r w:rsidR="00A87C4B" w:rsidRPr="005B2D23">
        <w:rPr>
          <w:sz w:val="22"/>
          <w:szCs w:val="22"/>
        </w:rPr>
        <w:t xml:space="preserve">The size fraction of particulate matter with aerodynamic diameter less than </w:t>
      </w:r>
      <w:r w:rsidR="00A87C4B">
        <w:rPr>
          <w:sz w:val="22"/>
          <w:szCs w:val="22"/>
        </w:rPr>
        <w:t>10</w:t>
      </w:r>
      <w:r w:rsidR="00A87C4B" w:rsidRPr="005B2D23">
        <w:rPr>
          <w:sz w:val="22"/>
          <w:szCs w:val="22"/>
        </w:rPr>
        <w:t xml:space="preserve"> micrometers is called PM</w:t>
      </w:r>
      <w:r w:rsidR="00A87C4B">
        <w:rPr>
          <w:sz w:val="22"/>
          <w:szCs w:val="22"/>
          <w:vertAlign w:val="subscript"/>
        </w:rPr>
        <w:t>10</w:t>
      </w:r>
      <w:r w:rsidR="00A87C4B">
        <w:rPr>
          <w:sz w:val="22"/>
          <w:szCs w:val="22"/>
        </w:rPr>
        <w:t>, while t</w:t>
      </w:r>
      <w:r w:rsidRPr="00A87C4B">
        <w:rPr>
          <w:sz w:val="22"/>
          <w:szCs w:val="22"/>
        </w:rPr>
        <w:t>he</w:t>
      </w:r>
      <w:r w:rsidRPr="005B2D23">
        <w:rPr>
          <w:sz w:val="22"/>
          <w:szCs w:val="22"/>
        </w:rPr>
        <w:t xml:space="preserve"> size fraction of particulate matter with aerodynamic diameter less than 2.5 micrometers is called PM</w:t>
      </w:r>
      <w:r w:rsidRPr="005B2D23">
        <w:rPr>
          <w:sz w:val="22"/>
          <w:szCs w:val="22"/>
          <w:vertAlign w:val="subscript"/>
        </w:rPr>
        <w:t>2.5</w:t>
      </w:r>
      <w:r w:rsidRPr="005B2D23">
        <w:rPr>
          <w:sz w:val="22"/>
          <w:szCs w:val="22"/>
        </w:rPr>
        <w:t>.</w:t>
      </w:r>
      <w:r w:rsidR="00A87C4B">
        <w:rPr>
          <w:sz w:val="22"/>
          <w:szCs w:val="22"/>
        </w:rPr>
        <w:t xml:space="preserve">  Chemical speciation of PM</w:t>
      </w:r>
      <w:r w:rsidR="00A87C4B" w:rsidRPr="00B436AE">
        <w:rPr>
          <w:sz w:val="22"/>
          <w:szCs w:val="22"/>
          <w:vertAlign w:val="subscript"/>
        </w:rPr>
        <w:t>2.5</w:t>
      </w:r>
      <w:r w:rsidR="00A87C4B">
        <w:rPr>
          <w:sz w:val="22"/>
          <w:szCs w:val="22"/>
        </w:rPr>
        <w:t xml:space="preserve"> in the atmosphere has shown that it is composed of many different substances, and this composition varies spatially and temporally.  Common chemical constituents of PM</w:t>
      </w:r>
      <w:r w:rsidR="00A87C4B" w:rsidRPr="00825D0F">
        <w:rPr>
          <w:sz w:val="22"/>
          <w:szCs w:val="22"/>
          <w:vertAlign w:val="subscript"/>
        </w:rPr>
        <w:t>2.5</w:t>
      </w:r>
      <w:r w:rsidR="00A87C4B">
        <w:rPr>
          <w:sz w:val="22"/>
          <w:szCs w:val="22"/>
        </w:rPr>
        <w:t xml:space="preserve"> include carbonaceous compounds, sulfate ions, nitrate ions, ammonium ions, crustal components, and sea salt.</w:t>
      </w:r>
    </w:p>
    <w:p w:rsidR="00A87C4B" w:rsidRDefault="00A87C4B" w:rsidP="00A87C4B">
      <w:pPr>
        <w:widowControl w:val="0"/>
        <w:spacing w:after="120"/>
        <w:ind w:left="36"/>
        <w:rPr>
          <w:sz w:val="22"/>
          <w:szCs w:val="22"/>
        </w:rPr>
      </w:pPr>
      <w:r>
        <w:rPr>
          <w:sz w:val="22"/>
          <w:szCs w:val="22"/>
        </w:rPr>
        <w:t>Chemically speciated measurements of ambient PM</w:t>
      </w:r>
      <w:r w:rsidRPr="00825D0F">
        <w:rPr>
          <w:sz w:val="22"/>
          <w:szCs w:val="22"/>
          <w:vertAlign w:val="subscript"/>
        </w:rPr>
        <w:t>2.5</w:t>
      </w:r>
      <w:r>
        <w:rPr>
          <w:sz w:val="22"/>
          <w:szCs w:val="22"/>
        </w:rPr>
        <w:t xml:space="preserve"> composition are not very common.  Speciated fine PM measurements are made at the Chassahowitzka National Wildlife Refuge, which is approximately 150 miles northwest of Clewiston.  This site is part of the IMPROVE monitoring network</w:t>
      </w:r>
      <w:r>
        <w:rPr>
          <w:rStyle w:val="FootnoteReference"/>
          <w:sz w:val="22"/>
          <w:szCs w:val="22"/>
        </w:rPr>
        <w:footnoteReference w:id="6"/>
      </w:r>
      <w:r>
        <w:rPr>
          <w:sz w:val="22"/>
          <w:szCs w:val="22"/>
        </w:rPr>
        <w:t>.  While data from this site may not be entirely representative of PM composition near Clewiston, it does give a qualitative sense for PM composition in much of peninsular Florida.  Average PM</w:t>
      </w:r>
      <w:r w:rsidRPr="00DD7CBA">
        <w:rPr>
          <w:sz w:val="22"/>
          <w:szCs w:val="22"/>
          <w:vertAlign w:val="subscript"/>
        </w:rPr>
        <w:t>2.5</w:t>
      </w:r>
      <w:r>
        <w:rPr>
          <w:sz w:val="22"/>
          <w:szCs w:val="22"/>
        </w:rPr>
        <w:t xml:space="preserve"> composition at the Chassahowitzka site from 2001 through 2014 is shown in </w:t>
      </w:r>
      <w:r w:rsidRPr="005346C1">
        <w:rPr>
          <w:b/>
          <w:sz w:val="22"/>
          <w:szCs w:val="22"/>
        </w:rPr>
        <w:fldChar w:fldCharType="begin"/>
      </w:r>
      <w:r w:rsidRPr="005346C1">
        <w:rPr>
          <w:b/>
          <w:sz w:val="22"/>
          <w:szCs w:val="22"/>
        </w:rPr>
        <w:instrText xml:space="preserve"> REF _Ref453054105 \h </w:instrText>
      </w:r>
      <w:r>
        <w:rPr>
          <w:b/>
          <w:sz w:val="22"/>
          <w:szCs w:val="22"/>
        </w:rPr>
        <w:instrText xml:space="preserve"> \* MERGEFORMAT </w:instrText>
      </w:r>
      <w:r w:rsidRPr="005346C1">
        <w:rPr>
          <w:b/>
          <w:sz w:val="22"/>
          <w:szCs w:val="22"/>
        </w:rPr>
      </w:r>
      <w:r w:rsidRPr="005346C1">
        <w:rPr>
          <w:b/>
          <w:sz w:val="22"/>
          <w:szCs w:val="22"/>
        </w:rPr>
        <w:fldChar w:fldCharType="separate"/>
      </w:r>
      <w:r w:rsidR="005A4C55" w:rsidRPr="005A4C55">
        <w:rPr>
          <w:rFonts w:ascii="Times New Roman Bold" w:hAnsi="Times New Roman Bold"/>
          <w:b/>
          <w:sz w:val="22"/>
        </w:rPr>
        <w:t xml:space="preserve">Figure </w:t>
      </w:r>
      <w:r w:rsidR="005A4C55" w:rsidRPr="005A4C55">
        <w:rPr>
          <w:rFonts w:ascii="Times New Roman Bold" w:hAnsi="Times New Roman Bold"/>
          <w:b/>
          <w:noProof/>
          <w:sz w:val="22"/>
        </w:rPr>
        <w:t>8</w:t>
      </w:r>
      <w:r w:rsidRPr="005346C1">
        <w:rPr>
          <w:b/>
          <w:sz w:val="22"/>
          <w:szCs w:val="22"/>
        </w:rPr>
        <w:fldChar w:fldCharType="end"/>
      </w:r>
      <w:r w:rsidRPr="001D1B42">
        <w:rPr>
          <w:sz w:val="22"/>
          <w:szCs w:val="22"/>
        </w:rPr>
        <w:t xml:space="preserve"> (Average PM</w:t>
      </w:r>
      <w:r w:rsidRPr="001D1B42">
        <w:rPr>
          <w:sz w:val="22"/>
          <w:szCs w:val="22"/>
          <w:vertAlign w:val="subscript"/>
        </w:rPr>
        <w:t>2.5</w:t>
      </w:r>
      <w:r w:rsidRPr="001D1B42">
        <w:rPr>
          <w:sz w:val="22"/>
          <w:szCs w:val="22"/>
        </w:rPr>
        <w:t xml:space="preserve"> concentration for this period </w:t>
      </w:r>
      <w:r w:rsidR="002D13E5">
        <w:rPr>
          <w:sz w:val="22"/>
          <w:szCs w:val="22"/>
        </w:rPr>
        <w:t>is</w:t>
      </w:r>
      <w:r w:rsidRPr="001D1B42">
        <w:rPr>
          <w:sz w:val="22"/>
          <w:szCs w:val="22"/>
        </w:rPr>
        <w:t xml:space="preserve"> 7.8 micrograms per cubic meter).</w:t>
      </w:r>
    </w:p>
    <w:p w:rsidR="00CB2694" w:rsidRDefault="00CB2694" w:rsidP="00CB2694">
      <w:pPr>
        <w:widowControl w:val="0"/>
        <w:spacing w:after="120"/>
        <w:ind w:left="36"/>
        <w:jc w:val="center"/>
        <w:rPr>
          <w:sz w:val="22"/>
          <w:szCs w:val="22"/>
        </w:rPr>
      </w:pPr>
      <w:r>
        <w:rPr>
          <w:noProof/>
          <w:sz w:val="22"/>
          <w:szCs w:val="22"/>
        </w:rPr>
        <w:lastRenderedPageBreak/>
        <w:drawing>
          <wp:inline distT="0" distB="0" distL="0" distR="0" wp14:anchorId="7DE5FFDB" wp14:editId="7B956CE4">
            <wp:extent cx="4605545" cy="3390181"/>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28106" cy="3406789"/>
                    </a:xfrm>
                    <a:prstGeom prst="rect">
                      <a:avLst/>
                    </a:prstGeom>
                    <a:noFill/>
                  </pic:spPr>
                </pic:pic>
              </a:graphicData>
            </a:graphic>
          </wp:inline>
        </w:drawing>
      </w:r>
    </w:p>
    <w:p w:rsidR="00CB2694" w:rsidRPr="005346C1" w:rsidRDefault="00CB2694" w:rsidP="00CB2694">
      <w:pPr>
        <w:pStyle w:val="Caption"/>
        <w:spacing w:before="120"/>
        <w:jc w:val="center"/>
        <w:rPr>
          <w:rFonts w:ascii="Times New Roman Bold" w:hAnsi="Times New Roman Bold"/>
          <w:caps w:val="0"/>
          <w:szCs w:val="22"/>
        </w:rPr>
      </w:pPr>
      <w:bookmarkStart w:id="15" w:name="_Ref453054105"/>
      <w:r w:rsidRPr="005346C1">
        <w:rPr>
          <w:rFonts w:ascii="Times New Roman Bold" w:hAnsi="Times New Roman Bold"/>
          <w:caps w:val="0"/>
        </w:rPr>
        <w:t xml:space="preserve">Figure </w:t>
      </w:r>
      <w:r w:rsidRPr="005346C1">
        <w:rPr>
          <w:rFonts w:ascii="Times New Roman Bold" w:hAnsi="Times New Roman Bold"/>
          <w:caps w:val="0"/>
        </w:rPr>
        <w:fldChar w:fldCharType="begin"/>
      </w:r>
      <w:r w:rsidRPr="005346C1">
        <w:rPr>
          <w:rFonts w:ascii="Times New Roman Bold" w:hAnsi="Times New Roman Bold"/>
          <w:caps w:val="0"/>
        </w:rPr>
        <w:instrText xml:space="preserve"> SEQ Figure \* ARABIC </w:instrText>
      </w:r>
      <w:r w:rsidRPr="005346C1">
        <w:rPr>
          <w:rFonts w:ascii="Times New Roman Bold" w:hAnsi="Times New Roman Bold"/>
          <w:caps w:val="0"/>
        </w:rPr>
        <w:fldChar w:fldCharType="separate"/>
      </w:r>
      <w:r>
        <w:rPr>
          <w:rFonts w:ascii="Times New Roman Bold" w:hAnsi="Times New Roman Bold"/>
          <w:caps w:val="0"/>
          <w:noProof/>
        </w:rPr>
        <w:t>8</w:t>
      </w:r>
      <w:r w:rsidRPr="005346C1">
        <w:rPr>
          <w:rFonts w:ascii="Times New Roman Bold" w:hAnsi="Times New Roman Bold"/>
          <w:caps w:val="0"/>
        </w:rPr>
        <w:fldChar w:fldCharType="end"/>
      </w:r>
      <w:bookmarkEnd w:id="15"/>
      <w:r w:rsidRPr="005346C1">
        <w:rPr>
          <w:rFonts w:ascii="Times New Roman Bold" w:hAnsi="Times New Roman Bold"/>
          <w:caps w:val="0"/>
        </w:rPr>
        <w:t>.  Average PM</w:t>
      </w:r>
      <w:r w:rsidRPr="005346C1">
        <w:rPr>
          <w:rFonts w:ascii="Times New Roman Bold" w:hAnsi="Times New Roman Bold"/>
          <w:caps w:val="0"/>
          <w:vertAlign w:val="subscript"/>
        </w:rPr>
        <w:t>2.5</w:t>
      </w:r>
      <w:r w:rsidRPr="005346C1">
        <w:rPr>
          <w:rFonts w:ascii="Times New Roman Bold" w:hAnsi="Times New Roman Bold"/>
          <w:caps w:val="0"/>
        </w:rPr>
        <w:t xml:space="preserve"> Composition at Chassahowitzka IMPROVE Site, 2001-2014.</w:t>
      </w:r>
      <w:r>
        <w:rPr>
          <w:rFonts w:ascii="Times New Roman Bold" w:hAnsi="Times New Roman Bold"/>
          <w:caps w:val="0"/>
        </w:rPr>
        <w:t xml:space="preserve">  </w:t>
      </w:r>
    </w:p>
    <w:p w:rsidR="00A87C4B" w:rsidRDefault="00A87C4B" w:rsidP="00A87C4B">
      <w:pPr>
        <w:widowControl w:val="0"/>
        <w:spacing w:after="120"/>
        <w:ind w:left="36"/>
        <w:rPr>
          <w:sz w:val="22"/>
          <w:szCs w:val="22"/>
        </w:rPr>
      </w:pPr>
      <w:r>
        <w:rPr>
          <w:sz w:val="22"/>
          <w:szCs w:val="22"/>
        </w:rPr>
        <w:t xml:space="preserve">Some processes directly emit particles, in a form such as soot.  These directly emitted particles are called filterable PM, since a stack test method employing a filter (such as EPA Method 5) would measure these particles.  Some particulate matter is formed very soon after exiting the stack, upon reaching ambient temperature: this is referred to as condensable PM, since it is formed from rapid condensation upon reaching atmospheric temperatures.  Condensable PM can be thought of as the result of a </w:t>
      </w:r>
      <w:r>
        <w:rPr>
          <w:i/>
          <w:sz w:val="22"/>
          <w:szCs w:val="22"/>
        </w:rPr>
        <w:t>physical</w:t>
      </w:r>
      <w:r>
        <w:rPr>
          <w:sz w:val="22"/>
          <w:szCs w:val="22"/>
        </w:rPr>
        <w:t xml:space="preserve"> process (i.e. condensation), as opposed to a chemical process (i.e. chemical reactions).  Together, filterable and condensable PM are called primary PM.  Primary PM, therefore, is PM that is in the aerosol phase when it is emitted, or very shortly thereafter.</w:t>
      </w:r>
    </w:p>
    <w:p w:rsidR="00A87C4B" w:rsidRDefault="00A87C4B" w:rsidP="00A87C4B">
      <w:pPr>
        <w:widowControl w:val="0"/>
        <w:spacing w:after="120"/>
        <w:rPr>
          <w:sz w:val="22"/>
          <w:szCs w:val="22"/>
        </w:rPr>
      </w:pPr>
      <w:r>
        <w:rPr>
          <w:sz w:val="22"/>
          <w:szCs w:val="22"/>
        </w:rPr>
        <w:t>In contrast to primary PM, secondary PM forms in the atmosphere from chemical reactions between precursor gases.  An example of this is the reaction between atmospheric sulfur dioxide and ammonia to form ammonium sulfate.  Similarly, VOCs can be oxidized in the atmosphere and form organic aerosol.</w:t>
      </w:r>
    </w:p>
    <w:p w:rsidR="00B06156" w:rsidRDefault="00A87C4B" w:rsidP="00B06156">
      <w:pPr>
        <w:widowControl w:val="0"/>
        <w:spacing w:after="120"/>
        <w:ind w:left="36"/>
        <w:rPr>
          <w:sz w:val="22"/>
          <w:szCs w:val="22"/>
        </w:rPr>
      </w:pPr>
      <w:r>
        <w:rPr>
          <w:sz w:val="22"/>
          <w:szCs w:val="22"/>
        </w:rPr>
        <w:t>For BACT purposes, “PM” includes only filterable PM, while PM</w:t>
      </w:r>
      <w:r w:rsidRPr="00A87C4B">
        <w:rPr>
          <w:sz w:val="22"/>
          <w:szCs w:val="22"/>
          <w:vertAlign w:val="subscript"/>
        </w:rPr>
        <w:t>10</w:t>
      </w:r>
      <w:r>
        <w:rPr>
          <w:sz w:val="22"/>
          <w:szCs w:val="22"/>
        </w:rPr>
        <w:t xml:space="preserve"> and PM</w:t>
      </w:r>
      <w:r w:rsidRPr="00A87C4B">
        <w:rPr>
          <w:sz w:val="22"/>
          <w:szCs w:val="22"/>
          <w:vertAlign w:val="subscript"/>
        </w:rPr>
        <w:t>2.5</w:t>
      </w:r>
      <w:r>
        <w:rPr>
          <w:sz w:val="22"/>
          <w:szCs w:val="22"/>
        </w:rPr>
        <w:t xml:space="preserve"> include both filterable PM (under the appropriate size cut-off) and condensable PM.  At the time of the previous BACT determination for this facility, the Department had not yet adopted PM</w:t>
      </w:r>
      <w:r w:rsidRPr="002D13E5">
        <w:rPr>
          <w:sz w:val="22"/>
          <w:szCs w:val="22"/>
          <w:vertAlign w:val="subscript"/>
        </w:rPr>
        <w:t>2.5</w:t>
      </w:r>
      <w:r>
        <w:rPr>
          <w:sz w:val="22"/>
          <w:szCs w:val="22"/>
        </w:rPr>
        <w:t xml:space="preserve"> as a PSD pollutant, and the Department was not yet considering condensable PM as part of PM</w:t>
      </w:r>
      <w:r w:rsidRPr="00A87C4B">
        <w:rPr>
          <w:sz w:val="22"/>
          <w:szCs w:val="22"/>
          <w:vertAlign w:val="subscript"/>
        </w:rPr>
        <w:t>10</w:t>
      </w:r>
      <w:r>
        <w:rPr>
          <w:sz w:val="22"/>
          <w:szCs w:val="22"/>
        </w:rPr>
        <w:t xml:space="preserve"> or PM</w:t>
      </w:r>
      <w:r w:rsidRPr="00A87C4B">
        <w:rPr>
          <w:sz w:val="22"/>
          <w:szCs w:val="22"/>
          <w:vertAlign w:val="subscript"/>
        </w:rPr>
        <w:t>2.5</w:t>
      </w:r>
      <w:r>
        <w:rPr>
          <w:sz w:val="22"/>
          <w:szCs w:val="22"/>
        </w:rPr>
        <w:t>.  Therefore the previous BACT determination included only filterable PM and filterable PM</w:t>
      </w:r>
      <w:r w:rsidRPr="00A87C4B">
        <w:rPr>
          <w:sz w:val="22"/>
          <w:szCs w:val="22"/>
          <w:vertAlign w:val="subscript"/>
        </w:rPr>
        <w:t>10</w:t>
      </w:r>
      <w:r>
        <w:rPr>
          <w:sz w:val="22"/>
          <w:szCs w:val="22"/>
        </w:rPr>
        <w:t>.</w:t>
      </w:r>
    </w:p>
    <w:p w:rsidR="00614117" w:rsidRPr="00B06156" w:rsidRDefault="00614117" w:rsidP="00614117">
      <w:pPr>
        <w:widowControl w:val="0"/>
        <w:spacing w:after="120"/>
        <w:rPr>
          <w:sz w:val="22"/>
          <w:szCs w:val="22"/>
        </w:rPr>
      </w:pPr>
      <w:r w:rsidRPr="00B06156">
        <w:rPr>
          <w:sz w:val="22"/>
          <w:szCs w:val="22"/>
        </w:rPr>
        <w:t>Under NESHAP Subpart DDDDD, the boiler will be subject to a limit on (filterable) PM of 0.026 lb/MMBtu.</w:t>
      </w:r>
      <w:r>
        <w:rPr>
          <w:sz w:val="22"/>
          <w:szCs w:val="22"/>
        </w:rPr>
        <w:t xml:space="preserve">  NSPS Subpart Db imposes a limit on (filterable) PM of 0.030 lb/MMBtu.</w:t>
      </w:r>
    </w:p>
    <w:p w:rsidR="00614117" w:rsidRPr="00155062" w:rsidRDefault="00614117" w:rsidP="00614117">
      <w:pPr>
        <w:pStyle w:val="ListParagraph"/>
        <w:widowControl w:val="0"/>
        <w:numPr>
          <w:ilvl w:val="2"/>
          <w:numId w:val="15"/>
        </w:numPr>
        <w:spacing w:after="120"/>
        <w:ind w:left="720" w:hanging="720"/>
        <w:rPr>
          <w:sz w:val="22"/>
          <w:szCs w:val="22"/>
          <w:u w:val="single"/>
        </w:rPr>
      </w:pPr>
      <w:r w:rsidRPr="00155062">
        <w:rPr>
          <w:sz w:val="22"/>
          <w:szCs w:val="22"/>
          <w:u w:val="single"/>
        </w:rPr>
        <w:t>Applicant’s Proposal</w:t>
      </w:r>
    </w:p>
    <w:p w:rsidR="00614117" w:rsidRDefault="00614117" w:rsidP="00614117">
      <w:pPr>
        <w:widowControl w:val="0"/>
        <w:spacing w:after="120"/>
        <w:rPr>
          <w:sz w:val="22"/>
          <w:szCs w:val="22"/>
        </w:rPr>
      </w:pPr>
      <w:r w:rsidRPr="00A87C4B">
        <w:rPr>
          <w:sz w:val="22"/>
          <w:szCs w:val="22"/>
        </w:rPr>
        <w:t>For PM and PM</w:t>
      </w:r>
      <w:r w:rsidRPr="00A87C4B">
        <w:rPr>
          <w:sz w:val="22"/>
          <w:szCs w:val="22"/>
          <w:vertAlign w:val="subscript"/>
        </w:rPr>
        <w:t>10</w:t>
      </w:r>
      <w:r w:rsidRPr="00A87C4B">
        <w:rPr>
          <w:sz w:val="22"/>
          <w:szCs w:val="22"/>
        </w:rPr>
        <w:t>, the applicant has requested a reaffirmation of the previously issued BACT determination.</w:t>
      </w:r>
      <w:r>
        <w:rPr>
          <w:sz w:val="22"/>
          <w:szCs w:val="22"/>
        </w:rPr>
        <w:t xml:space="preserve">  This includes the use of a wet sand separator (a type of cyclone) and electrostatic precipitator.  The applicant considered a fabric filter baghouse to be technically infeasible for the project, given concerns that hot embers from a bagasse-fired hybrid suspension grate boiler could pose a fire risk.  Further, the applicant considers a highly efficient ESP to be equivalent in effectiveness to a baghouse.  This limit is 0.015 lb/MMBtu for filterable PM, to be demonstrated by initial and annual Method 5 stack test.  Because Method 5 does not employ any size cut, the use of Method 5 implicitly makes filterable PM a proxy for filterable PM</w:t>
      </w:r>
      <w:r w:rsidRPr="00384677">
        <w:rPr>
          <w:sz w:val="22"/>
          <w:szCs w:val="22"/>
          <w:vertAlign w:val="subscript"/>
        </w:rPr>
        <w:t>10</w:t>
      </w:r>
      <w:r>
        <w:rPr>
          <w:sz w:val="22"/>
          <w:szCs w:val="22"/>
        </w:rPr>
        <w:t>.  While this PM</w:t>
      </w:r>
      <w:r w:rsidRPr="00B54F42">
        <w:rPr>
          <w:sz w:val="22"/>
          <w:szCs w:val="22"/>
          <w:vertAlign w:val="subscript"/>
        </w:rPr>
        <w:t>10</w:t>
      </w:r>
      <w:r>
        <w:rPr>
          <w:sz w:val="22"/>
          <w:szCs w:val="22"/>
        </w:rPr>
        <w:t xml:space="preserve"> limit does </w:t>
      </w:r>
      <w:r>
        <w:rPr>
          <w:sz w:val="22"/>
          <w:szCs w:val="22"/>
        </w:rPr>
        <w:lastRenderedPageBreak/>
        <w:t>not include condensable PM, condensable PM will be considered as part of the PM</w:t>
      </w:r>
      <w:r w:rsidRPr="00B54F42">
        <w:rPr>
          <w:sz w:val="22"/>
          <w:szCs w:val="22"/>
          <w:vertAlign w:val="subscript"/>
        </w:rPr>
        <w:t>2.5</w:t>
      </w:r>
      <w:r>
        <w:rPr>
          <w:sz w:val="22"/>
          <w:szCs w:val="22"/>
        </w:rPr>
        <w:t xml:space="preserve"> limit.</w:t>
      </w:r>
    </w:p>
    <w:p w:rsidR="00614117" w:rsidRPr="00A87C4B" w:rsidRDefault="00614117" w:rsidP="00614117">
      <w:pPr>
        <w:widowControl w:val="0"/>
        <w:spacing w:after="120"/>
        <w:rPr>
          <w:sz w:val="22"/>
          <w:szCs w:val="22"/>
        </w:rPr>
      </w:pPr>
      <w:r>
        <w:rPr>
          <w:sz w:val="22"/>
          <w:szCs w:val="22"/>
        </w:rPr>
        <w:t>The applicant proposes a limit on PM</w:t>
      </w:r>
      <w:r w:rsidRPr="00C2362E">
        <w:rPr>
          <w:sz w:val="22"/>
          <w:szCs w:val="22"/>
          <w:vertAlign w:val="subscript"/>
        </w:rPr>
        <w:t>2.5</w:t>
      </w:r>
      <w:r>
        <w:rPr>
          <w:sz w:val="22"/>
          <w:szCs w:val="22"/>
        </w:rPr>
        <w:t xml:space="preserve"> (filterable + condensable) of 0.022 lb/MMBtu.  Compliance would be demonstrated by initial and annual stack test.  The applicant also notes that there exists minimal information on condensable PM emissions from bagasse-fired boilers and requests that this limit be raised if initial testing shows that it cannot be met.  In order to limit condensable (and secondary) PM, the applicant has also proposed reducing the current limit for ammonia slip from the SNCR system from 30 ppmvd @ 7% O</w:t>
      </w:r>
      <w:r w:rsidRPr="00463439">
        <w:rPr>
          <w:sz w:val="22"/>
          <w:szCs w:val="22"/>
          <w:vertAlign w:val="subscript"/>
        </w:rPr>
        <w:t>2</w:t>
      </w:r>
      <w:r>
        <w:rPr>
          <w:sz w:val="22"/>
          <w:szCs w:val="22"/>
        </w:rPr>
        <w:t xml:space="preserve"> to 25 ppmvd @ 7% O</w:t>
      </w:r>
      <w:r w:rsidRPr="00463439">
        <w:rPr>
          <w:sz w:val="22"/>
          <w:szCs w:val="22"/>
          <w:vertAlign w:val="subscript"/>
        </w:rPr>
        <w:t>2</w:t>
      </w:r>
      <w:r>
        <w:rPr>
          <w:sz w:val="22"/>
          <w:szCs w:val="22"/>
        </w:rPr>
        <w:t>.</w:t>
      </w:r>
    </w:p>
    <w:p w:rsidR="00190881" w:rsidRPr="00155062" w:rsidRDefault="00190881" w:rsidP="000F7233">
      <w:pPr>
        <w:pStyle w:val="ListParagraph"/>
        <w:widowControl w:val="0"/>
        <w:numPr>
          <w:ilvl w:val="2"/>
          <w:numId w:val="15"/>
        </w:numPr>
        <w:spacing w:after="120"/>
        <w:ind w:left="720" w:hanging="720"/>
        <w:rPr>
          <w:sz w:val="22"/>
          <w:szCs w:val="22"/>
          <w:u w:val="single"/>
        </w:rPr>
      </w:pPr>
      <w:r w:rsidRPr="00155062">
        <w:rPr>
          <w:sz w:val="22"/>
          <w:szCs w:val="22"/>
          <w:u w:val="single"/>
        </w:rPr>
        <w:t>Department’s Review</w:t>
      </w:r>
    </w:p>
    <w:p w:rsidR="00190881" w:rsidRDefault="000F7233" w:rsidP="000F7233">
      <w:pPr>
        <w:widowControl w:val="0"/>
        <w:spacing w:after="120"/>
        <w:rPr>
          <w:sz w:val="22"/>
          <w:szCs w:val="22"/>
        </w:rPr>
      </w:pPr>
      <w:r w:rsidRPr="000F7233">
        <w:rPr>
          <w:sz w:val="22"/>
          <w:szCs w:val="22"/>
        </w:rPr>
        <w:t xml:space="preserve">The applicant’s proposed limit for </w:t>
      </w:r>
      <w:r w:rsidR="001C6F41">
        <w:rPr>
          <w:sz w:val="22"/>
          <w:szCs w:val="22"/>
        </w:rPr>
        <w:t xml:space="preserve">filterable </w:t>
      </w:r>
      <w:r w:rsidRPr="000F7233">
        <w:rPr>
          <w:sz w:val="22"/>
          <w:szCs w:val="22"/>
        </w:rPr>
        <w:t>PM is less than the applicable standards from Subparts Db and DDDDD.</w:t>
      </w:r>
      <w:r>
        <w:rPr>
          <w:sz w:val="22"/>
          <w:szCs w:val="22"/>
        </w:rPr>
        <w:t xml:space="preserve">  The proposed limit is in line with other recently issued BACT limits for PM, including the Sierra Pacific project in California (2014, 0.020 lb/MMBtu), the North Springfield biomass project in Vermont (2013, 0.019 lb/MMBtu)</w:t>
      </w:r>
      <w:r w:rsidR="001C6F41">
        <w:rPr>
          <w:sz w:val="22"/>
          <w:szCs w:val="22"/>
        </w:rPr>
        <w:t>, and the Beaver Wood Energy Fair Haven project in Vermont (2012, 0.019 lb/MMBtu).  These project have utilized a mix of ESP technology and baghouse technology.  The Department also notes that the U.S. Sugar Boiler No. 9 project (2016) utilized an ESP as BACT controls for PM</w:t>
      </w:r>
      <w:r w:rsidR="001C6F41" w:rsidRPr="001C6F41">
        <w:rPr>
          <w:sz w:val="22"/>
          <w:szCs w:val="22"/>
          <w:vertAlign w:val="subscript"/>
        </w:rPr>
        <w:t>2.5</w:t>
      </w:r>
      <w:r w:rsidR="001C6F41">
        <w:rPr>
          <w:sz w:val="22"/>
          <w:szCs w:val="22"/>
        </w:rPr>
        <w:t>.  The Department will reaffirm the BACT determination for filterable PM and PM</w:t>
      </w:r>
      <w:r w:rsidR="001C6F41" w:rsidRPr="001C6F41">
        <w:rPr>
          <w:sz w:val="22"/>
          <w:szCs w:val="22"/>
          <w:vertAlign w:val="subscript"/>
        </w:rPr>
        <w:t>10</w:t>
      </w:r>
      <w:r w:rsidR="001C6F41">
        <w:rPr>
          <w:sz w:val="22"/>
          <w:szCs w:val="22"/>
        </w:rPr>
        <w:t>, at 0.015 lb/MMBtu, to be demonstrated by annual stack test for filterable PM.</w:t>
      </w:r>
    </w:p>
    <w:p w:rsidR="001C6F41" w:rsidRPr="000F7233" w:rsidRDefault="001C6F41" w:rsidP="000F7233">
      <w:pPr>
        <w:widowControl w:val="0"/>
        <w:spacing w:after="120"/>
        <w:rPr>
          <w:sz w:val="22"/>
          <w:szCs w:val="22"/>
        </w:rPr>
      </w:pPr>
      <w:r>
        <w:rPr>
          <w:sz w:val="22"/>
          <w:szCs w:val="22"/>
        </w:rPr>
        <w:t>Only a handful of BACT determinations for PM</w:t>
      </w:r>
      <w:r w:rsidRPr="00007728">
        <w:rPr>
          <w:sz w:val="22"/>
          <w:szCs w:val="22"/>
          <w:vertAlign w:val="subscript"/>
        </w:rPr>
        <w:t>2.5</w:t>
      </w:r>
      <w:r>
        <w:rPr>
          <w:sz w:val="22"/>
          <w:szCs w:val="22"/>
        </w:rPr>
        <w:t xml:space="preserve"> (filterable + condensable) have been issued for biomass boilers.  The Department issued a limit of 0.0268 lb/MMBtu for U.S. Sugar Boiler No. 9</w:t>
      </w:r>
      <w:r w:rsidR="00007728">
        <w:rPr>
          <w:sz w:val="22"/>
          <w:szCs w:val="22"/>
        </w:rPr>
        <w:t xml:space="preserve">.  The </w:t>
      </w:r>
      <w:proofErr w:type="spellStart"/>
      <w:r w:rsidR="00007728">
        <w:rPr>
          <w:sz w:val="22"/>
          <w:szCs w:val="22"/>
        </w:rPr>
        <w:t>Abengoa</w:t>
      </w:r>
      <w:proofErr w:type="spellEnd"/>
      <w:r w:rsidR="00007728">
        <w:rPr>
          <w:sz w:val="22"/>
          <w:szCs w:val="22"/>
        </w:rPr>
        <w:t xml:space="preserve"> Energy project in Kansas received a limit of 0.030 lb/MMBtu, including 0.013 lb/MMBtu filterable PM</w:t>
      </w:r>
      <w:r w:rsidR="00007728" w:rsidRPr="00007728">
        <w:rPr>
          <w:sz w:val="22"/>
          <w:szCs w:val="22"/>
          <w:vertAlign w:val="subscript"/>
        </w:rPr>
        <w:t>2.5</w:t>
      </w:r>
      <w:r w:rsidR="00007728">
        <w:rPr>
          <w:sz w:val="22"/>
          <w:szCs w:val="22"/>
        </w:rPr>
        <w:t xml:space="preserve"> and 0.017 condensable PM.  The applicant’s proposed limit of 0.022 lb/MMBtu is more stringent than either of these previously issued limits</w:t>
      </w:r>
      <w:r w:rsidR="003B6C79">
        <w:rPr>
          <w:sz w:val="22"/>
          <w:szCs w:val="22"/>
        </w:rPr>
        <w:t>, and the Department will adopt this proposed limit for PM</w:t>
      </w:r>
      <w:r w:rsidR="003B6C79" w:rsidRPr="003B6C79">
        <w:rPr>
          <w:sz w:val="22"/>
          <w:szCs w:val="22"/>
          <w:vertAlign w:val="subscript"/>
        </w:rPr>
        <w:t>2.5</w:t>
      </w:r>
      <w:r w:rsidR="00007728">
        <w:rPr>
          <w:sz w:val="22"/>
          <w:szCs w:val="22"/>
        </w:rPr>
        <w:t>.  The Department does recognize the limited amount of data regarding condensable PM emissions from biomass-fueled boilers.  If initial testing indicates that the standard cannot be achieved, the Departme</w:t>
      </w:r>
      <w:r w:rsidR="00447A52">
        <w:rPr>
          <w:sz w:val="22"/>
          <w:szCs w:val="22"/>
        </w:rPr>
        <w:t xml:space="preserve">nt will </w:t>
      </w:r>
      <w:r w:rsidR="003B6C79">
        <w:rPr>
          <w:sz w:val="22"/>
          <w:szCs w:val="22"/>
        </w:rPr>
        <w:t xml:space="preserve">revisit this BACT limit, after one year of </w:t>
      </w:r>
      <w:r w:rsidR="00447A52">
        <w:rPr>
          <w:sz w:val="22"/>
          <w:szCs w:val="22"/>
        </w:rPr>
        <w:t>additional quarterly testing for PM</w:t>
      </w:r>
      <w:r w:rsidR="00447A52" w:rsidRPr="00447A52">
        <w:rPr>
          <w:sz w:val="22"/>
          <w:szCs w:val="22"/>
          <w:vertAlign w:val="subscript"/>
        </w:rPr>
        <w:t>2.5</w:t>
      </w:r>
      <w:r w:rsidR="00447A52">
        <w:rPr>
          <w:sz w:val="22"/>
          <w:szCs w:val="22"/>
        </w:rPr>
        <w:t>.</w:t>
      </w:r>
      <w:r w:rsidR="003B6C79">
        <w:rPr>
          <w:sz w:val="22"/>
          <w:szCs w:val="22"/>
        </w:rPr>
        <w:t xml:space="preserve">  In this scenario, the BACT limit would be set at the highest of these five initial tests</w:t>
      </w:r>
      <w:bookmarkStart w:id="16" w:name="_Hlk484588005"/>
      <w:r w:rsidR="00402441">
        <w:rPr>
          <w:sz w:val="22"/>
          <w:szCs w:val="22"/>
        </w:rPr>
        <w:t>, plus an additional margin of 10% to account for variability in feedstock, operations, etc</w:t>
      </w:r>
      <w:r w:rsidR="003B6C79">
        <w:rPr>
          <w:sz w:val="22"/>
          <w:szCs w:val="22"/>
        </w:rPr>
        <w:t>.</w:t>
      </w:r>
      <w:bookmarkEnd w:id="16"/>
    </w:p>
    <w:p w:rsidR="00190881" w:rsidRDefault="00FD32D5" w:rsidP="0009570B">
      <w:pPr>
        <w:pStyle w:val="ListParagraph"/>
        <w:widowControl w:val="0"/>
        <w:numPr>
          <w:ilvl w:val="1"/>
          <w:numId w:val="15"/>
        </w:numPr>
        <w:spacing w:before="120" w:after="120"/>
        <w:ind w:left="720" w:hanging="720"/>
        <w:contextualSpacing w:val="0"/>
        <w:rPr>
          <w:b/>
          <w:sz w:val="22"/>
          <w:szCs w:val="22"/>
        </w:rPr>
      </w:pPr>
      <w:bookmarkStart w:id="17" w:name="_Ref482887027"/>
      <w:r>
        <w:rPr>
          <w:b/>
          <w:sz w:val="22"/>
          <w:szCs w:val="22"/>
        </w:rPr>
        <w:t>GHG</w:t>
      </w:r>
      <w:r w:rsidR="00190881">
        <w:rPr>
          <w:b/>
          <w:sz w:val="22"/>
          <w:szCs w:val="22"/>
        </w:rPr>
        <w:t xml:space="preserve"> Emissions</w:t>
      </w:r>
      <w:bookmarkEnd w:id="17"/>
    </w:p>
    <w:p w:rsidR="009F5EE7" w:rsidRPr="00155062" w:rsidRDefault="009F5EE7" w:rsidP="009F5EE7">
      <w:pPr>
        <w:pStyle w:val="ListParagraph"/>
        <w:widowControl w:val="0"/>
        <w:numPr>
          <w:ilvl w:val="2"/>
          <w:numId w:val="15"/>
        </w:numPr>
        <w:spacing w:after="120"/>
        <w:ind w:left="720" w:hanging="720"/>
        <w:contextualSpacing w:val="0"/>
        <w:rPr>
          <w:b/>
          <w:sz w:val="22"/>
          <w:szCs w:val="22"/>
          <w:u w:val="single"/>
        </w:rPr>
      </w:pPr>
      <w:r w:rsidRPr="00155062">
        <w:rPr>
          <w:sz w:val="22"/>
          <w:szCs w:val="22"/>
          <w:u w:val="single"/>
        </w:rPr>
        <w:t>Discussion</w:t>
      </w:r>
    </w:p>
    <w:p w:rsidR="009F5EE7" w:rsidRDefault="009F5EE7" w:rsidP="009F5EE7">
      <w:pPr>
        <w:widowControl w:val="0"/>
        <w:spacing w:after="120"/>
        <w:rPr>
          <w:sz w:val="22"/>
          <w:szCs w:val="22"/>
        </w:rPr>
      </w:pPr>
      <w:r>
        <w:rPr>
          <w:sz w:val="22"/>
          <w:szCs w:val="22"/>
        </w:rPr>
        <w:t xml:space="preserve">Three greenhouse gases are expected to be emitted from the boiler in this project:  carbon dioxide </w:t>
      </w:r>
      <w:r w:rsidRPr="00EA2E22">
        <w:rPr>
          <w:sz w:val="22"/>
          <w:szCs w:val="22"/>
        </w:rPr>
        <w:t>(CO</w:t>
      </w:r>
      <w:r w:rsidRPr="00EA2E22">
        <w:rPr>
          <w:sz w:val="22"/>
          <w:szCs w:val="22"/>
          <w:vertAlign w:val="subscript"/>
        </w:rPr>
        <w:t>2</w:t>
      </w:r>
      <w:r w:rsidRPr="00EA2E22">
        <w:rPr>
          <w:sz w:val="22"/>
          <w:szCs w:val="22"/>
        </w:rPr>
        <w:t>)</w:t>
      </w:r>
      <w:r>
        <w:rPr>
          <w:sz w:val="22"/>
          <w:szCs w:val="22"/>
        </w:rPr>
        <w:t>, methane (CH</w:t>
      </w:r>
      <w:r w:rsidRPr="00F9688C">
        <w:rPr>
          <w:sz w:val="22"/>
          <w:szCs w:val="22"/>
          <w:vertAlign w:val="subscript"/>
        </w:rPr>
        <w:t>4</w:t>
      </w:r>
      <w:r>
        <w:rPr>
          <w:sz w:val="22"/>
          <w:szCs w:val="22"/>
        </w:rPr>
        <w:t>), and nitrous oxide (N</w:t>
      </w:r>
      <w:r w:rsidRPr="00AF3A03">
        <w:rPr>
          <w:sz w:val="22"/>
          <w:szCs w:val="22"/>
          <w:vertAlign w:val="subscript"/>
        </w:rPr>
        <w:t>2</w:t>
      </w:r>
      <w:r>
        <w:rPr>
          <w:sz w:val="22"/>
          <w:szCs w:val="22"/>
        </w:rPr>
        <w:t>O).</w:t>
      </w:r>
    </w:p>
    <w:p w:rsidR="009F5EE7" w:rsidRPr="00EA2E22" w:rsidRDefault="009F5EE7" w:rsidP="009F5EE7">
      <w:pPr>
        <w:widowControl w:val="0"/>
        <w:spacing w:after="120"/>
        <w:rPr>
          <w:sz w:val="22"/>
          <w:szCs w:val="22"/>
        </w:rPr>
      </w:pPr>
      <w:r>
        <w:rPr>
          <w:sz w:val="22"/>
          <w:szCs w:val="22"/>
        </w:rPr>
        <w:t>Carbon dioxide</w:t>
      </w:r>
      <w:r w:rsidRPr="00EA2E22">
        <w:rPr>
          <w:sz w:val="22"/>
          <w:szCs w:val="22"/>
        </w:rPr>
        <w:t xml:space="preserve"> is the primary product of combustion of carbon-based fuels in air.  The exothermic reaction between fuels and molecular oxygen in air results in the breaking of carbon-carbon bonds or carbon-hydrogen bonds in fuels</w:t>
      </w:r>
      <w:r>
        <w:rPr>
          <w:sz w:val="22"/>
          <w:szCs w:val="22"/>
        </w:rPr>
        <w:t>, the release of energy in the form of heat, and the formation of CO</w:t>
      </w:r>
      <w:r w:rsidRPr="00F9688C">
        <w:rPr>
          <w:sz w:val="22"/>
          <w:szCs w:val="22"/>
          <w:vertAlign w:val="subscript"/>
        </w:rPr>
        <w:t>2</w:t>
      </w:r>
      <w:r>
        <w:rPr>
          <w:sz w:val="22"/>
          <w:szCs w:val="22"/>
        </w:rPr>
        <w:t xml:space="preserve"> and water. </w:t>
      </w:r>
    </w:p>
    <w:p w:rsidR="009F5EE7" w:rsidRDefault="009F5EE7" w:rsidP="009F5EE7">
      <w:pPr>
        <w:widowControl w:val="0"/>
        <w:spacing w:after="120"/>
        <w:rPr>
          <w:sz w:val="22"/>
          <w:szCs w:val="22"/>
        </w:rPr>
      </w:pPr>
      <w:r>
        <w:rPr>
          <w:sz w:val="22"/>
          <w:szCs w:val="22"/>
        </w:rPr>
        <w:t xml:space="preserve">Negligible amounts of </w:t>
      </w:r>
      <w:r w:rsidRPr="00260B98">
        <w:rPr>
          <w:sz w:val="22"/>
          <w:szCs w:val="22"/>
        </w:rPr>
        <w:t>CH</w:t>
      </w:r>
      <w:r w:rsidRPr="00260B98">
        <w:rPr>
          <w:sz w:val="22"/>
          <w:szCs w:val="22"/>
          <w:vertAlign w:val="subscript"/>
        </w:rPr>
        <w:t>4</w:t>
      </w:r>
      <w:r>
        <w:rPr>
          <w:sz w:val="22"/>
          <w:szCs w:val="22"/>
        </w:rPr>
        <w:t xml:space="preserve"> and N</w:t>
      </w:r>
      <w:r w:rsidRPr="00694B57">
        <w:rPr>
          <w:sz w:val="22"/>
          <w:szCs w:val="22"/>
          <w:vertAlign w:val="subscript"/>
        </w:rPr>
        <w:t>2</w:t>
      </w:r>
      <w:r>
        <w:rPr>
          <w:sz w:val="22"/>
          <w:szCs w:val="22"/>
        </w:rPr>
        <w:t xml:space="preserve">O </w:t>
      </w:r>
      <w:r w:rsidRPr="00260B98">
        <w:rPr>
          <w:sz w:val="22"/>
          <w:szCs w:val="22"/>
        </w:rPr>
        <w:t>are</w:t>
      </w:r>
      <w:r>
        <w:rPr>
          <w:sz w:val="22"/>
          <w:szCs w:val="22"/>
        </w:rPr>
        <w:t xml:space="preserve"> expected from this project.  The complete combustion of fuel to CO</w:t>
      </w:r>
      <w:r w:rsidRPr="00694B57">
        <w:rPr>
          <w:sz w:val="22"/>
          <w:szCs w:val="22"/>
          <w:vertAlign w:val="subscript"/>
        </w:rPr>
        <w:t>2</w:t>
      </w:r>
      <w:r>
        <w:rPr>
          <w:sz w:val="22"/>
          <w:szCs w:val="22"/>
        </w:rPr>
        <w:t xml:space="preserve"> is the desired outcome in the boiler, so formation of CH</w:t>
      </w:r>
      <w:r w:rsidRPr="00694B57">
        <w:rPr>
          <w:sz w:val="22"/>
          <w:szCs w:val="22"/>
          <w:vertAlign w:val="subscript"/>
        </w:rPr>
        <w:t>4</w:t>
      </w:r>
      <w:r>
        <w:rPr>
          <w:sz w:val="22"/>
          <w:szCs w:val="22"/>
        </w:rPr>
        <w:t xml:space="preserve"> is expected to be minimal.  A very small amount of N</w:t>
      </w:r>
      <w:r w:rsidRPr="00AF3A03">
        <w:rPr>
          <w:sz w:val="22"/>
          <w:szCs w:val="22"/>
          <w:vertAlign w:val="subscript"/>
        </w:rPr>
        <w:t>2</w:t>
      </w:r>
      <w:r>
        <w:rPr>
          <w:sz w:val="22"/>
          <w:szCs w:val="22"/>
        </w:rPr>
        <w:t>O can be produced as a combustion byproduct.  At the high temperatures associated with combustion, atmospheric N</w:t>
      </w:r>
      <w:r w:rsidRPr="00E63C57">
        <w:rPr>
          <w:sz w:val="22"/>
          <w:szCs w:val="22"/>
          <w:vertAlign w:val="subscript"/>
        </w:rPr>
        <w:t>2</w:t>
      </w:r>
      <w:r>
        <w:rPr>
          <w:sz w:val="22"/>
          <w:szCs w:val="22"/>
        </w:rPr>
        <w:t xml:space="preserve"> and oxygen O</w:t>
      </w:r>
      <w:r w:rsidRPr="00E63C57">
        <w:rPr>
          <w:sz w:val="22"/>
          <w:szCs w:val="22"/>
          <w:vertAlign w:val="subscript"/>
        </w:rPr>
        <w:t>2</w:t>
      </w:r>
      <w:r>
        <w:rPr>
          <w:sz w:val="22"/>
          <w:szCs w:val="22"/>
        </w:rPr>
        <w:t xml:space="preserve"> react to form, among other byproducts, N</w:t>
      </w:r>
      <w:r w:rsidRPr="00E63C57">
        <w:rPr>
          <w:sz w:val="22"/>
          <w:szCs w:val="22"/>
          <w:vertAlign w:val="subscript"/>
        </w:rPr>
        <w:t>2</w:t>
      </w:r>
      <w:r>
        <w:rPr>
          <w:sz w:val="22"/>
          <w:szCs w:val="22"/>
        </w:rPr>
        <w:t xml:space="preserve">O. </w:t>
      </w:r>
    </w:p>
    <w:p w:rsidR="009F5EE7" w:rsidRDefault="009F5EE7" w:rsidP="009F5EE7">
      <w:pPr>
        <w:widowControl w:val="0"/>
        <w:spacing w:after="120"/>
        <w:rPr>
          <w:sz w:val="22"/>
          <w:szCs w:val="22"/>
        </w:rPr>
      </w:pPr>
      <w:r>
        <w:rPr>
          <w:sz w:val="22"/>
          <w:szCs w:val="22"/>
        </w:rPr>
        <w:t>Greenhouse gases are categorized and compared on an “equivalency” basis according to their “global warming potential” (GWP).  The GWP of a substance is calculated by determining the ratio of the amount of warming due to the emission of a unit mass of the substance, integrated over a chosen time period, to the amount of warming due to the emission of a unit mass of CO</w:t>
      </w:r>
      <w:r w:rsidRPr="00E63C57">
        <w:rPr>
          <w:sz w:val="22"/>
          <w:szCs w:val="22"/>
          <w:vertAlign w:val="subscript"/>
        </w:rPr>
        <w:t>2</w:t>
      </w:r>
      <w:r>
        <w:rPr>
          <w:sz w:val="22"/>
          <w:szCs w:val="22"/>
        </w:rPr>
        <w:t>, integrated over the same time period.  The most commonly used time period for GWP calculations is 100 years.  The US EPA uses GWP values of unity for CO</w:t>
      </w:r>
      <w:r w:rsidRPr="00E63C57">
        <w:rPr>
          <w:sz w:val="22"/>
          <w:szCs w:val="22"/>
          <w:vertAlign w:val="subscript"/>
        </w:rPr>
        <w:t>2</w:t>
      </w:r>
      <w:r>
        <w:rPr>
          <w:sz w:val="22"/>
          <w:szCs w:val="22"/>
        </w:rPr>
        <w:t>, 25 for CH</w:t>
      </w:r>
      <w:r>
        <w:rPr>
          <w:sz w:val="22"/>
          <w:szCs w:val="22"/>
          <w:vertAlign w:val="subscript"/>
        </w:rPr>
        <w:t>4</w:t>
      </w:r>
      <w:r>
        <w:rPr>
          <w:sz w:val="22"/>
          <w:szCs w:val="22"/>
        </w:rPr>
        <w:t>, and 298 for N</w:t>
      </w:r>
      <w:r w:rsidRPr="00E63C57">
        <w:rPr>
          <w:sz w:val="22"/>
          <w:szCs w:val="22"/>
          <w:vertAlign w:val="subscript"/>
        </w:rPr>
        <w:t>2</w:t>
      </w:r>
      <w:r>
        <w:rPr>
          <w:sz w:val="22"/>
          <w:szCs w:val="22"/>
        </w:rPr>
        <w:t>O.  Multiplying emissions of each of these three gases by its respective GWP, and summing the result, yields a CO</w:t>
      </w:r>
      <w:r w:rsidRPr="000705B5">
        <w:rPr>
          <w:sz w:val="22"/>
          <w:szCs w:val="22"/>
          <w:vertAlign w:val="subscript"/>
        </w:rPr>
        <w:t>2</w:t>
      </w:r>
      <w:r>
        <w:rPr>
          <w:sz w:val="22"/>
          <w:szCs w:val="22"/>
        </w:rPr>
        <w:t>-equivalent (CO</w:t>
      </w:r>
      <w:r w:rsidRPr="000705B5">
        <w:rPr>
          <w:sz w:val="22"/>
          <w:szCs w:val="22"/>
          <w:vertAlign w:val="subscript"/>
        </w:rPr>
        <w:t>2</w:t>
      </w:r>
      <w:r>
        <w:rPr>
          <w:sz w:val="22"/>
          <w:szCs w:val="22"/>
        </w:rPr>
        <w:t>e) greenhouse gas emissions estimate.</w:t>
      </w:r>
    </w:p>
    <w:p w:rsidR="009F5EE7" w:rsidRPr="00155062" w:rsidRDefault="009F5EE7" w:rsidP="009F5EE7">
      <w:pPr>
        <w:pStyle w:val="ListParagraph"/>
        <w:widowControl w:val="0"/>
        <w:numPr>
          <w:ilvl w:val="2"/>
          <w:numId w:val="15"/>
        </w:numPr>
        <w:spacing w:after="120"/>
        <w:ind w:left="720" w:hanging="720"/>
        <w:contextualSpacing w:val="0"/>
        <w:rPr>
          <w:sz w:val="22"/>
          <w:szCs w:val="22"/>
          <w:u w:val="single"/>
        </w:rPr>
      </w:pPr>
      <w:bookmarkStart w:id="18" w:name="_Ref482886884"/>
      <w:r w:rsidRPr="00155062">
        <w:rPr>
          <w:sz w:val="22"/>
          <w:szCs w:val="22"/>
          <w:u w:val="single"/>
        </w:rPr>
        <w:t>Controls for GHGs</w:t>
      </w:r>
      <w:bookmarkEnd w:id="18"/>
    </w:p>
    <w:p w:rsidR="009F5EE7" w:rsidRDefault="009F5EE7" w:rsidP="009F5EE7">
      <w:pPr>
        <w:widowControl w:val="0"/>
        <w:spacing w:before="120" w:after="120"/>
        <w:rPr>
          <w:sz w:val="22"/>
          <w:szCs w:val="22"/>
        </w:rPr>
      </w:pPr>
      <w:r w:rsidRPr="008E4F73">
        <w:rPr>
          <w:i/>
          <w:sz w:val="22"/>
          <w:szCs w:val="22"/>
        </w:rPr>
        <w:t>Carbon Capture and Sequestration (CCS)</w:t>
      </w:r>
      <w:r>
        <w:rPr>
          <w:sz w:val="22"/>
          <w:szCs w:val="22"/>
        </w:rPr>
        <w:t>:  CCS entails capturing the CO</w:t>
      </w:r>
      <w:r w:rsidRPr="00D61A6D">
        <w:rPr>
          <w:sz w:val="22"/>
          <w:szCs w:val="22"/>
          <w:vertAlign w:val="subscript"/>
        </w:rPr>
        <w:t>2</w:t>
      </w:r>
      <w:r>
        <w:rPr>
          <w:sz w:val="22"/>
          <w:szCs w:val="22"/>
        </w:rPr>
        <w:t xml:space="preserve"> from flue gas, transporting it to an appropriate location for storage, and sequestering it underground.  This CO</w:t>
      </w:r>
      <w:r w:rsidRPr="001756F1">
        <w:rPr>
          <w:sz w:val="22"/>
          <w:szCs w:val="22"/>
          <w:vertAlign w:val="subscript"/>
        </w:rPr>
        <w:t>2</w:t>
      </w:r>
      <w:r>
        <w:rPr>
          <w:sz w:val="22"/>
          <w:szCs w:val="22"/>
        </w:rPr>
        <w:t xml:space="preserve"> is usually used for processes such </w:t>
      </w:r>
      <w:r>
        <w:rPr>
          <w:sz w:val="22"/>
          <w:szCs w:val="22"/>
        </w:rPr>
        <w:lastRenderedPageBreak/>
        <w:t>as enhanced oil recovery, in which the CO</w:t>
      </w:r>
      <w:r w:rsidRPr="001756F1">
        <w:rPr>
          <w:sz w:val="22"/>
          <w:szCs w:val="22"/>
          <w:vertAlign w:val="subscript"/>
        </w:rPr>
        <w:t>2</w:t>
      </w:r>
      <w:r>
        <w:rPr>
          <w:sz w:val="22"/>
          <w:szCs w:val="22"/>
        </w:rPr>
        <w:t xml:space="preserve"> aids in the production of fossil fuels from underground.  Deep saline formations, which are large, porous rock formations, also present a potential opportunity for underground CO</w:t>
      </w:r>
      <w:r w:rsidRPr="001756F1">
        <w:rPr>
          <w:sz w:val="22"/>
          <w:szCs w:val="22"/>
          <w:vertAlign w:val="subscript"/>
        </w:rPr>
        <w:t>2</w:t>
      </w:r>
      <w:r>
        <w:rPr>
          <w:sz w:val="22"/>
          <w:szCs w:val="22"/>
        </w:rPr>
        <w:t xml:space="preserve"> storage.</w:t>
      </w:r>
    </w:p>
    <w:p w:rsidR="009F5EE7" w:rsidRDefault="009F5EE7" w:rsidP="009F5EE7">
      <w:pPr>
        <w:widowControl w:val="0"/>
        <w:spacing w:after="120"/>
        <w:rPr>
          <w:sz w:val="22"/>
          <w:szCs w:val="22"/>
        </w:rPr>
      </w:pPr>
      <w:r>
        <w:rPr>
          <w:sz w:val="22"/>
          <w:szCs w:val="22"/>
        </w:rPr>
        <w:t>The separation and capture of CO</w:t>
      </w:r>
      <w:r w:rsidRPr="008565C0">
        <w:rPr>
          <w:sz w:val="22"/>
          <w:szCs w:val="22"/>
          <w:vertAlign w:val="subscript"/>
        </w:rPr>
        <w:t>2</w:t>
      </w:r>
      <w:r>
        <w:rPr>
          <w:sz w:val="22"/>
          <w:szCs w:val="22"/>
        </w:rPr>
        <w:t xml:space="preserve"> from the effluent stream can be performed using several different technologies, such as absorption, adsorption, low-temperature distillation, gas separation membranes, or mineralization and biomineralization.  The transport of CO</w:t>
      </w:r>
      <w:r w:rsidRPr="008565C0">
        <w:rPr>
          <w:sz w:val="22"/>
          <w:szCs w:val="22"/>
          <w:vertAlign w:val="subscript"/>
        </w:rPr>
        <w:t>2</w:t>
      </w:r>
      <w:r>
        <w:rPr>
          <w:sz w:val="22"/>
          <w:szCs w:val="22"/>
        </w:rPr>
        <w:t xml:space="preserve"> from the facility to its ultimate storage site is usually accomplished via pipeline, at a pressure of over 1,000 pounds per square inch.  CO</w:t>
      </w:r>
      <w:r w:rsidRPr="008565C0">
        <w:rPr>
          <w:sz w:val="22"/>
          <w:szCs w:val="22"/>
          <w:vertAlign w:val="subscript"/>
        </w:rPr>
        <w:t>2</w:t>
      </w:r>
      <w:r>
        <w:rPr>
          <w:sz w:val="22"/>
          <w:szCs w:val="22"/>
        </w:rPr>
        <w:t xml:space="preserve"> can also be transported in insulated tanks at low temperature via seagoing vessels, rail, or truck.  Potential locations for long-term underground storage of CO</w:t>
      </w:r>
      <w:r w:rsidRPr="008565C0">
        <w:rPr>
          <w:sz w:val="22"/>
          <w:szCs w:val="22"/>
          <w:vertAlign w:val="subscript"/>
        </w:rPr>
        <w:t>2</w:t>
      </w:r>
      <w:r>
        <w:rPr>
          <w:sz w:val="22"/>
          <w:szCs w:val="22"/>
        </w:rPr>
        <w:t xml:space="preserve"> include depleted oil and gas reservoirs, un-mineable coal seams, and underground saline formations.</w:t>
      </w:r>
    </w:p>
    <w:p w:rsidR="009F5EE7" w:rsidRDefault="009F5EE7" w:rsidP="009F5EE7">
      <w:pPr>
        <w:widowControl w:val="0"/>
        <w:spacing w:after="120"/>
        <w:rPr>
          <w:sz w:val="22"/>
          <w:szCs w:val="22"/>
        </w:rPr>
      </w:pPr>
      <w:r>
        <w:rPr>
          <w:sz w:val="22"/>
          <w:szCs w:val="22"/>
        </w:rPr>
        <w:t xml:space="preserve">CCS has been deployed at a </w:t>
      </w:r>
      <w:r w:rsidRPr="00A10887">
        <w:rPr>
          <w:sz w:val="22"/>
          <w:szCs w:val="22"/>
          <w:u w:val="single"/>
        </w:rPr>
        <w:t>very</w:t>
      </w:r>
      <w:r>
        <w:rPr>
          <w:sz w:val="22"/>
          <w:szCs w:val="22"/>
        </w:rPr>
        <w:t xml:space="preserve"> small number of commercial-scale facilities.</w:t>
      </w:r>
    </w:p>
    <w:p w:rsidR="009F5EE7" w:rsidRDefault="009F5EE7" w:rsidP="009F5EE7">
      <w:pPr>
        <w:widowControl w:val="0"/>
        <w:spacing w:after="120"/>
        <w:rPr>
          <w:sz w:val="22"/>
          <w:szCs w:val="22"/>
        </w:rPr>
      </w:pPr>
      <w:r w:rsidRPr="00E422FD">
        <w:rPr>
          <w:i/>
          <w:sz w:val="22"/>
          <w:szCs w:val="22"/>
        </w:rPr>
        <w:t>Efficient Boiler Technology</w:t>
      </w:r>
      <w:r>
        <w:rPr>
          <w:sz w:val="22"/>
          <w:szCs w:val="22"/>
        </w:rPr>
        <w:t>:  Various boiler types are capable of combusting biomass to create steam.  These include fluidized bed combustion, suspension combustion, stoker combustion, and pile combustion.  The applicant has selected a hybrid suspension grate boiler for this project.  This type of boiler is especially appropriate for moist biomass fuel, such as bagasse.</w:t>
      </w:r>
    </w:p>
    <w:p w:rsidR="009F5EE7" w:rsidRDefault="009F5EE7" w:rsidP="009F5EE7">
      <w:pPr>
        <w:widowControl w:val="0"/>
        <w:spacing w:after="120"/>
        <w:rPr>
          <w:sz w:val="22"/>
          <w:szCs w:val="22"/>
        </w:rPr>
      </w:pPr>
      <w:r>
        <w:rPr>
          <w:sz w:val="22"/>
          <w:szCs w:val="22"/>
        </w:rPr>
        <w:t>In this case, the use of a hybrid suspension-grate boiler is a key design choice made by the applicant for this project.  To include other boiler types in a BACT analysis would constitute a redefinition of the source.  Therefore, other boiler technologies will not be considered in defining BACT.</w:t>
      </w:r>
    </w:p>
    <w:p w:rsidR="009F5EE7" w:rsidRDefault="009F5EE7" w:rsidP="009F5EE7">
      <w:pPr>
        <w:widowControl w:val="0"/>
        <w:spacing w:after="120"/>
        <w:rPr>
          <w:sz w:val="22"/>
          <w:szCs w:val="22"/>
        </w:rPr>
      </w:pPr>
      <w:r w:rsidRPr="00245A51">
        <w:rPr>
          <w:i/>
          <w:sz w:val="22"/>
          <w:szCs w:val="22"/>
        </w:rPr>
        <w:t>Low-Carbon Fuel</w:t>
      </w:r>
      <w:r>
        <w:rPr>
          <w:sz w:val="22"/>
          <w:szCs w:val="22"/>
        </w:rPr>
        <w:t>:  The use of biomass is a key design parameter for this project – bagasse is a readily available byproduct from the harvesting of sugar cane</w:t>
      </w:r>
      <w:r w:rsidR="00A10887">
        <w:rPr>
          <w:sz w:val="22"/>
          <w:szCs w:val="22"/>
        </w:rPr>
        <w:t xml:space="preserve"> or sorghum.  </w:t>
      </w:r>
      <w:r>
        <w:rPr>
          <w:sz w:val="22"/>
          <w:szCs w:val="22"/>
        </w:rPr>
        <w:t>Natural gas, the lowest-emitting fossil fuel, will be used as an auxiliary fuel for startups and shutdowns.  However, to consider other fuels in defining BACT for this project would constitute a redefinition of the source.</w:t>
      </w:r>
    </w:p>
    <w:p w:rsidR="009F5EE7" w:rsidRDefault="009F5EE7" w:rsidP="009F5EE7">
      <w:pPr>
        <w:widowControl w:val="0"/>
        <w:spacing w:after="120"/>
        <w:rPr>
          <w:sz w:val="22"/>
          <w:szCs w:val="22"/>
        </w:rPr>
      </w:pPr>
      <w:r>
        <w:rPr>
          <w:sz w:val="22"/>
          <w:szCs w:val="22"/>
        </w:rPr>
        <w:t>Additionally, while the Department takes no position on the carbon neutrality of biomass fuels, the applicant notes that bodies such as the Intergovernmental Panel on Climate Change</w:t>
      </w:r>
      <w:r>
        <w:rPr>
          <w:rStyle w:val="FootnoteReference"/>
          <w:sz w:val="22"/>
          <w:szCs w:val="22"/>
        </w:rPr>
        <w:footnoteReference w:id="7"/>
      </w:r>
      <w:r>
        <w:rPr>
          <w:sz w:val="22"/>
          <w:szCs w:val="22"/>
        </w:rPr>
        <w:t xml:space="preserve"> and agencies such as the US EPA</w:t>
      </w:r>
      <w:r>
        <w:rPr>
          <w:rStyle w:val="FootnoteReference"/>
          <w:sz w:val="22"/>
          <w:szCs w:val="22"/>
        </w:rPr>
        <w:footnoteReference w:id="8"/>
      </w:r>
      <w:r>
        <w:rPr>
          <w:sz w:val="22"/>
          <w:szCs w:val="22"/>
        </w:rPr>
        <w:t xml:space="preserve"> consider biomass fuels to be at least partially, if not completely, carbon neutral.  The carbon neutrality of the fuel depends on many factors such as the chosen time horizon for analysis and the sustainability of the practices used to grow and harvest the crop.  The bagasse to be fired in this boiler will be grown on existing crop land that will not involve the removal of trees, and the sugar cane</w:t>
      </w:r>
      <w:r w:rsidR="00A10887">
        <w:rPr>
          <w:sz w:val="22"/>
          <w:szCs w:val="22"/>
        </w:rPr>
        <w:t xml:space="preserve"> and sorghum</w:t>
      </w:r>
      <w:r>
        <w:rPr>
          <w:sz w:val="22"/>
          <w:szCs w:val="22"/>
        </w:rPr>
        <w:t xml:space="preserve"> will generally re-grow at roughly the same rate at which it is processed, on a season-by-season basis.  However, a full discussion of the carbon neutrality of bagasse fuels is beyond the necessary scope of a BACT review for this project.</w:t>
      </w:r>
    </w:p>
    <w:p w:rsidR="009F5EE7" w:rsidRDefault="009F5EE7" w:rsidP="009F5EE7">
      <w:pPr>
        <w:widowControl w:val="0"/>
        <w:spacing w:after="120"/>
        <w:rPr>
          <w:sz w:val="22"/>
          <w:szCs w:val="22"/>
        </w:rPr>
      </w:pPr>
      <w:r w:rsidRPr="003120E2">
        <w:rPr>
          <w:i/>
          <w:sz w:val="22"/>
          <w:szCs w:val="22"/>
        </w:rPr>
        <w:t>Energy Efficiency Options</w:t>
      </w:r>
      <w:r>
        <w:rPr>
          <w:sz w:val="22"/>
          <w:szCs w:val="22"/>
        </w:rPr>
        <w:t xml:space="preserve">:  There are a number of options for the design, operation, and maintenance of a boiler that serve to maximize efficiency, which in turn minimize GHG emissions.  </w:t>
      </w:r>
      <w:r w:rsidR="00851893">
        <w:rPr>
          <w:sz w:val="22"/>
          <w:szCs w:val="22"/>
        </w:rPr>
        <w:t>The design thermal efficiency of the planned boiler is 68.0%, which is higher than those of U.S. Sugar Boilers No. 8 and 9.</w:t>
      </w:r>
    </w:p>
    <w:p w:rsidR="009F5EE7" w:rsidRDefault="009F5EE7" w:rsidP="009F5EE7">
      <w:pPr>
        <w:widowControl w:val="0"/>
        <w:spacing w:after="120"/>
        <w:rPr>
          <w:sz w:val="22"/>
          <w:szCs w:val="22"/>
        </w:rPr>
      </w:pPr>
      <w:r w:rsidRPr="003120E2">
        <w:rPr>
          <w:i/>
          <w:sz w:val="22"/>
          <w:szCs w:val="22"/>
        </w:rPr>
        <w:t>Combined Heat and Power (CHP)</w:t>
      </w:r>
      <w:r>
        <w:rPr>
          <w:sz w:val="22"/>
          <w:szCs w:val="22"/>
        </w:rPr>
        <w:t xml:space="preserve">:  A CHP system utilizes the steam generated in a boiler to provide heat to industrial processes and to generate electricity.  Steam generated by the </w:t>
      </w:r>
      <w:r w:rsidR="00A10887">
        <w:rPr>
          <w:sz w:val="22"/>
          <w:szCs w:val="22"/>
        </w:rPr>
        <w:t>proposed boiler</w:t>
      </w:r>
      <w:r>
        <w:rPr>
          <w:sz w:val="22"/>
          <w:szCs w:val="22"/>
        </w:rPr>
        <w:t xml:space="preserve"> will be used for both of these purposes.  </w:t>
      </w:r>
      <w:r w:rsidR="00A10887">
        <w:rPr>
          <w:sz w:val="22"/>
          <w:szCs w:val="22"/>
        </w:rPr>
        <w:t>Steam generated by the boiler will first go to the electric turbine generator to generate electricity.  Lower pressure steam from the turbine generator will then be used for heat in the ethanol production process</w:t>
      </w:r>
      <w:r>
        <w:rPr>
          <w:sz w:val="22"/>
          <w:szCs w:val="22"/>
        </w:rPr>
        <w:t>.</w:t>
      </w:r>
    </w:p>
    <w:p w:rsidR="009F5EE7" w:rsidRPr="00155062" w:rsidRDefault="009F5EE7" w:rsidP="009F5EE7">
      <w:pPr>
        <w:pStyle w:val="ListParagraph"/>
        <w:widowControl w:val="0"/>
        <w:numPr>
          <w:ilvl w:val="2"/>
          <w:numId w:val="15"/>
        </w:numPr>
        <w:spacing w:after="120"/>
        <w:ind w:left="720" w:hanging="720"/>
        <w:contextualSpacing w:val="0"/>
        <w:rPr>
          <w:sz w:val="22"/>
          <w:szCs w:val="22"/>
          <w:u w:val="single"/>
        </w:rPr>
      </w:pPr>
      <w:r w:rsidRPr="00155062">
        <w:rPr>
          <w:sz w:val="22"/>
          <w:szCs w:val="22"/>
          <w:u w:val="single"/>
        </w:rPr>
        <w:t>Applicable NSPS</w:t>
      </w:r>
    </w:p>
    <w:p w:rsidR="009F5EE7" w:rsidRPr="00FC684D" w:rsidRDefault="009F5EE7" w:rsidP="009F5EE7">
      <w:pPr>
        <w:widowControl w:val="0"/>
        <w:spacing w:after="120"/>
        <w:ind w:left="36"/>
        <w:rPr>
          <w:sz w:val="22"/>
          <w:szCs w:val="22"/>
        </w:rPr>
      </w:pPr>
      <w:r>
        <w:rPr>
          <w:sz w:val="22"/>
          <w:szCs w:val="22"/>
        </w:rPr>
        <w:t xml:space="preserve">NSPS Subpart TTTT includes limits on greenhouse gas emissions from new electric generating units.  To be subject to a limit under this subpart, a unit must (1) have a base load rating greater than 250 MMBtu/hr on fossil fuel, and (2) serve a generator or generators capable of selling greater than 25 megawatts (MW) of electricity to a utility power distribution system (40 CFR 60.5509(a)).  Condition (1) is </w:t>
      </w:r>
      <w:r w:rsidR="00A10887">
        <w:rPr>
          <w:sz w:val="22"/>
          <w:szCs w:val="22"/>
        </w:rPr>
        <w:t xml:space="preserve">not </w:t>
      </w:r>
      <w:r>
        <w:rPr>
          <w:sz w:val="22"/>
          <w:szCs w:val="22"/>
        </w:rPr>
        <w:t xml:space="preserve">met, since the unit will have a </w:t>
      </w:r>
      <w:r>
        <w:rPr>
          <w:sz w:val="22"/>
          <w:szCs w:val="22"/>
        </w:rPr>
        <w:lastRenderedPageBreak/>
        <w:t xml:space="preserve">capacity of </w:t>
      </w:r>
      <w:r w:rsidR="00A10887">
        <w:rPr>
          <w:sz w:val="22"/>
          <w:szCs w:val="22"/>
        </w:rPr>
        <w:t>249</w:t>
      </w:r>
      <w:r>
        <w:rPr>
          <w:sz w:val="22"/>
          <w:szCs w:val="22"/>
        </w:rPr>
        <w:t xml:space="preserve"> MMBtu/hr on natural gas.  </w:t>
      </w:r>
      <w:r w:rsidR="00A10887">
        <w:rPr>
          <w:sz w:val="22"/>
          <w:szCs w:val="22"/>
        </w:rPr>
        <w:t>Furthermore</w:t>
      </w:r>
      <w:r>
        <w:rPr>
          <w:sz w:val="22"/>
          <w:szCs w:val="22"/>
        </w:rPr>
        <w:t xml:space="preserve">, condition (2) is not met, since the unit will not serve a generator capable of selling more than 25 MW of power to the grid.  </w:t>
      </w:r>
      <w:r w:rsidR="00A10887">
        <w:rPr>
          <w:sz w:val="22"/>
          <w:szCs w:val="22"/>
        </w:rPr>
        <w:t>Therefore</w:t>
      </w:r>
      <w:r>
        <w:rPr>
          <w:sz w:val="22"/>
          <w:szCs w:val="22"/>
        </w:rPr>
        <w:t>, there is no applicable GHG NSPS for this unit.</w:t>
      </w:r>
    </w:p>
    <w:p w:rsidR="00190881" w:rsidRPr="00155062" w:rsidRDefault="00190881" w:rsidP="004D0A2D">
      <w:pPr>
        <w:pStyle w:val="ListParagraph"/>
        <w:widowControl w:val="0"/>
        <w:numPr>
          <w:ilvl w:val="2"/>
          <w:numId w:val="15"/>
        </w:numPr>
        <w:spacing w:after="120"/>
        <w:ind w:left="720" w:hanging="720"/>
        <w:contextualSpacing w:val="0"/>
        <w:rPr>
          <w:sz w:val="22"/>
          <w:szCs w:val="22"/>
          <w:u w:val="single"/>
        </w:rPr>
      </w:pPr>
      <w:r w:rsidRPr="00155062">
        <w:rPr>
          <w:sz w:val="22"/>
          <w:szCs w:val="22"/>
          <w:u w:val="single"/>
        </w:rPr>
        <w:t>Applicant’s Proposal</w:t>
      </w:r>
    </w:p>
    <w:p w:rsidR="004D0A2D" w:rsidRDefault="004D0A2D" w:rsidP="004D0A2D">
      <w:pPr>
        <w:widowControl w:val="0"/>
        <w:spacing w:after="120"/>
        <w:rPr>
          <w:sz w:val="22"/>
          <w:szCs w:val="22"/>
        </w:rPr>
      </w:pPr>
      <w:r w:rsidRPr="00E61F5A">
        <w:rPr>
          <w:sz w:val="22"/>
          <w:szCs w:val="22"/>
        </w:rPr>
        <w:t>In determining a proposed GHG BACT, the applicant next eliminated options it considered to be technically infeasible.</w:t>
      </w:r>
      <w:r>
        <w:rPr>
          <w:sz w:val="22"/>
          <w:szCs w:val="22"/>
        </w:rPr>
        <w:t xml:space="preserve">  The applicant considered CCS to be technically infeasible for this project for several reasons.</w:t>
      </w:r>
    </w:p>
    <w:p w:rsidR="004D0A2D" w:rsidRDefault="004D0A2D" w:rsidP="004D0A2D">
      <w:pPr>
        <w:pStyle w:val="ListParagraph"/>
        <w:widowControl w:val="0"/>
        <w:numPr>
          <w:ilvl w:val="0"/>
          <w:numId w:val="27"/>
        </w:numPr>
        <w:spacing w:after="120"/>
        <w:rPr>
          <w:sz w:val="22"/>
          <w:szCs w:val="22"/>
        </w:rPr>
      </w:pPr>
      <w:r>
        <w:rPr>
          <w:sz w:val="22"/>
          <w:szCs w:val="22"/>
        </w:rPr>
        <w:t>The first argument focused on the capture of CO</w:t>
      </w:r>
      <w:r w:rsidRPr="00590157">
        <w:rPr>
          <w:sz w:val="22"/>
          <w:szCs w:val="22"/>
          <w:vertAlign w:val="subscript"/>
        </w:rPr>
        <w:t>2</w:t>
      </w:r>
      <w:r>
        <w:rPr>
          <w:sz w:val="22"/>
          <w:szCs w:val="22"/>
        </w:rPr>
        <w:t xml:space="preserve"> from flue gas.  There have been just a handful of power plant CCS demonstration projects that have utilized CO</w:t>
      </w:r>
      <w:r w:rsidRPr="00590157">
        <w:rPr>
          <w:sz w:val="22"/>
          <w:szCs w:val="22"/>
          <w:vertAlign w:val="subscript"/>
        </w:rPr>
        <w:t>2</w:t>
      </w:r>
      <w:r>
        <w:rPr>
          <w:sz w:val="22"/>
          <w:szCs w:val="22"/>
        </w:rPr>
        <w:t xml:space="preserve"> capture.  These projects have utilized coal as their primary fuel.</w:t>
      </w:r>
    </w:p>
    <w:p w:rsidR="004D0A2D" w:rsidRDefault="004D0A2D" w:rsidP="004D0A2D">
      <w:pPr>
        <w:pStyle w:val="ListParagraph"/>
        <w:widowControl w:val="0"/>
        <w:numPr>
          <w:ilvl w:val="0"/>
          <w:numId w:val="27"/>
        </w:numPr>
        <w:spacing w:after="120"/>
        <w:rPr>
          <w:sz w:val="22"/>
          <w:szCs w:val="22"/>
        </w:rPr>
      </w:pPr>
      <w:r>
        <w:rPr>
          <w:sz w:val="22"/>
          <w:szCs w:val="22"/>
        </w:rPr>
        <w:t>The applicant noted that the compression of CO</w:t>
      </w:r>
      <w:r w:rsidRPr="00590157">
        <w:rPr>
          <w:sz w:val="22"/>
          <w:szCs w:val="22"/>
          <w:vertAlign w:val="subscript"/>
        </w:rPr>
        <w:t>2</w:t>
      </w:r>
      <w:r>
        <w:rPr>
          <w:sz w:val="22"/>
          <w:szCs w:val="22"/>
        </w:rPr>
        <w:t xml:space="preserve"> to sufficient pressures for transport (approximately 2000 pounds per square inch) generates a large amount of heat, which necessitates additional demand for cooling water, or cooling through electrical means.  Either method has significant environmental impacts.</w:t>
      </w:r>
    </w:p>
    <w:p w:rsidR="004D0A2D" w:rsidRDefault="004D0A2D" w:rsidP="004D0A2D">
      <w:pPr>
        <w:pStyle w:val="ListParagraph"/>
        <w:widowControl w:val="0"/>
        <w:numPr>
          <w:ilvl w:val="0"/>
          <w:numId w:val="27"/>
        </w:numPr>
        <w:spacing w:after="120"/>
        <w:rPr>
          <w:sz w:val="22"/>
          <w:szCs w:val="22"/>
        </w:rPr>
      </w:pPr>
      <w:r>
        <w:rPr>
          <w:sz w:val="22"/>
          <w:szCs w:val="22"/>
        </w:rPr>
        <w:t>The transportation infrastructure required to move compressed CO</w:t>
      </w:r>
      <w:r w:rsidRPr="00590157">
        <w:rPr>
          <w:sz w:val="22"/>
          <w:szCs w:val="22"/>
          <w:vertAlign w:val="subscript"/>
        </w:rPr>
        <w:t>2</w:t>
      </w:r>
      <w:r>
        <w:rPr>
          <w:sz w:val="22"/>
          <w:szCs w:val="22"/>
        </w:rPr>
        <w:t xml:space="preserve"> from the project site to an appropriate place for storage does not yet exist.  Presumably, this would mean that many miles of pipeline would have to be constructed to transport the compressed CO</w:t>
      </w:r>
      <w:r w:rsidRPr="00590157">
        <w:rPr>
          <w:sz w:val="22"/>
          <w:szCs w:val="22"/>
          <w:vertAlign w:val="subscript"/>
        </w:rPr>
        <w:t>2</w:t>
      </w:r>
      <w:r>
        <w:rPr>
          <w:sz w:val="22"/>
          <w:szCs w:val="22"/>
        </w:rPr>
        <w:t>.  This would have significant economic and environmental consequences.</w:t>
      </w:r>
    </w:p>
    <w:p w:rsidR="004D0A2D" w:rsidRDefault="004D0A2D" w:rsidP="004D0A2D">
      <w:pPr>
        <w:pStyle w:val="ListParagraph"/>
        <w:widowControl w:val="0"/>
        <w:numPr>
          <w:ilvl w:val="0"/>
          <w:numId w:val="27"/>
        </w:numPr>
        <w:spacing w:after="120"/>
        <w:rPr>
          <w:sz w:val="22"/>
          <w:szCs w:val="22"/>
        </w:rPr>
      </w:pPr>
      <w:r>
        <w:rPr>
          <w:sz w:val="22"/>
          <w:szCs w:val="22"/>
        </w:rPr>
        <w:t>Additionally, the applicant noted the need for a long-term storage site.  Currently, there are no demonstrated permanent CO</w:t>
      </w:r>
      <w:r w:rsidRPr="00590157">
        <w:rPr>
          <w:sz w:val="22"/>
          <w:szCs w:val="22"/>
          <w:vertAlign w:val="subscript"/>
        </w:rPr>
        <w:t>2</w:t>
      </w:r>
      <w:r>
        <w:rPr>
          <w:sz w:val="22"/>
          <w:szCs w:val="22"/>
        </w:rPr>
        <w:t xml:space="preserve"> sequestration locations in Florida, nor are there already any CO</w:t>
      </w:r>
      <w:r w:rsidRPr="00590157">
        <w:rPr>
          <w:sz w:val="22"/>
          <w:szCs w:val="22"/>
          <w:vertAlign w:val="subscript"/>
        </w:rPr>
        <w:t>2</w:t>
      </w:r>
      <w:r>
        <w:rPr>
          <w:sz w:val="22"/>
          <w:szCs w:val="22"/>
        </w:rPr>
        <w:t xml:space="preserve"> pipelines in place in the state.  A 2015 report from the US Geological Survey</w:t>
      </w:r>
      <w:r>
        <w:rPr>
          <w:rStyle w:val="FootnoteReference"/>
          <w:sz w:val="22"/>
          <w:szCs w:val="22"/>
        </w:rPr>
        <w:footnoteReference w:id="9"/>
      </w:r>
      <w:r>
        <w:rPr>
          <w:sz w:val="22"/>
          <w:szCs w:val="22"/>
        </w:rPr>
        <w:t xml:space="preserve"> indicated that while there is potential for carbon sequestration in a few formations in the southern part of Florida, no studies have yet demonstrated industrial-scale usage or suitability of these formations for carbon sequestration.</w:t>
      </w:r>
    </w:p>
    <w:p w:rsidR="004D0A2D" w:rsidRPr="008A54A4" w:rsidRDefault="004D0A2D" w:rsidP="004D0A2D">
      <w:pPr>
        <w:widowControl w:val="0"/>
        <w:spacing w:after="120"/>
        <w:rPr>
          <w:sz w:val="22"/>
          <w:szCs w:val="22"/>
        </w:rPr>
      </w:pPr>
      <w:r>
        <w:rPr>
          <w:sz w:val="22"/>
          <w:szCs w:val="22"/>
        </w:rPr>
        <w:t>The applicant has proposed the use of biomass fuel with natural gas as a startup fuel, along with a highly efficient boiler design, as constituting BACT for this project.  The applicant has requested a GHG BACT limit of 0.42 lb CO</w:t>
      </w:r>
      <w:r w:rsidRPr="004D0A2D">
        <w:rPr>
          <w:sz w:val="22"/>
          <w:szCs w:val="22"/>
          <w:vertAlign w:val="subscript"/>
        </w:rPr>
        <w:t>2</w:t>
      </w:r>
      <w:r>
        <w:rPr>
          <w:sz w:val="22"/>
          <w:szCs w:val="22"/>
        </w:rPr>
        <w:t xml:space="preserve"> per lb steam, on a 12-month rolling basis, including all periods of operation.  A calculation based on the carbon content of bagasse</w:t>
      </w:r>
      <w:r w:rsidR="00C92342">
        <w:rPr>
          <w:sz w:val="22"/>
          <w:szCs w:val="22"/>
        </w:rPr>
        <w:t xml:space="preserve"> suggests an idea</w:t>
      </w:r>
      <w:r w:rsidR="00B91A35">
        <w:rPr>
          <w:sz w:val="22"/>
          <w:szCs w:val="22"/>
        </w:rPr>
        <w:t>l</w:t>
      </w:r>
      <w:r w:rsidR="00C92342">
        <w:rPr>
          <w:sz w:val="22"/>
          <w:szCs w:val="22"/>
        </w:rPr>
        <w:t xml:space="preserve"> emissions rate of 0.40 lb CO</w:t>
      </w:r>
      <w:r w:rsidR="00C92342" w:rsidRPr="00C92342">
        <w:rPr>
          <w:sz w:val="22"/>
          <w:szCs w:val="22"/>
          <w:vertAlign w:val="subscript"/>
        </w:rPr>
        <w:t>2</w:t>
      </w:r>
      <w:r w:rsidR="00C92342">
        <w:rPr>
          <w:sz w:val="22"/>
          <w:szCs w:val="22"/>
        </w:rPr>
        <w:t xml:space="preserve"> per lb steam; the applicant’s requested limit includes an additional 5% to account for non-ideal operation, such as startup and shutdown.</w:t>
      </w:r>
    </w:p>
    <w:p w:rsidR="00190881" w:rsidRPr="00155062" w:rsidRDefault="00190881" w:rsidP="00336D3A">
      <w:pPr>
        <w:pStyle w:val="ListParagraph"/>
        <w:widowControl w:val="0"/>
        <w:numPr>
          <w:ilvl w:val="2"/>
          <w:numId w:val="15"/>
        </w:numPr>
        <w:spacing w:after="120"/>
        <w:ind w:left="720" w:hanging="720"/>
        <w:contextualSpacing w:val="0"/>
        <w:rPr>
          <w:sz w:val="22"/>
          <w:szCs w:val="22"/>
          <w:u w:val="single"/>
        </w:rPr>
      </w:pPr>
      <w:r w:rsidRPr="00155062">
        <w:rPr>
          <w:sz w:val="22"/>
          <w:szCs w:val="22"/>
          <w:u w:val="single"/>
        </w:rPr>
        <w:t>Department’s Review</w:t>
      </w:r>
    </w:p>
    <w:p w:rsidR="00336D3A" w:rsidRDefault="00336D3A" w:rsidP="00336D3A">
      <w:pPr>
        <w:widowControl w:val="0"/>
        <w:spacing w:after="120"/>
        <w:rPr>
          <w:sz w:val="22"/>
          <w:szCs w:val="22"/>
        </w:rPr>
      </w:pPr>
      <w:r>
        <w:rPr>
          <w:sz w:val="22"/>
          <w:szCs w:val="22"/>
        </w:rPr>
        <w:t>The Department agrees that CCS is not technically feasible for this project.  Only a handful of projects have successfully captured CO</w:t>
      </w:r>
      <w:r w:rsidRPr="0074378B">
        <w:rPr>
          <w:sz w:val="22"/>
          <w:szCs w:val="22"/>
          <w:vertAlign w:val="subscript"/>
        </w:rPr>
        <w:t>2</w:t>
      </w:r>
      <w:r>
        <w:rPr>
          <w:sz w:val="22"/>
          <w:szCs w:val="22"/>
        </w:rPr>
        <w:t xml:space="preserve"> from power (or steam) generation.  The </w:t>
      </w:r>
      <w:hyperlink r:id="rId45" w:history="1">
        <w:r w:rsidRPr="00570C47">
          <w:rPr>
            <w:rStyle w:val="Hyperlink"/>
            <w:sz w:val="22"/>
            <w:szCs w:val="22"/>
          </w:rPr>
          <w:t>Mississippi Power Kemper plant</w:t>
        </w:r>
      </w:hyperlink>
      <w:r>
        <w:rPr>
          <w:sz w:val="22"/>
          <w:szCs w:val="22"/>
        </w:rPr>
        <w:t>, designed with CCS for enhanced oil recovery (EOR) in mind, is still in the</w:t>
      </w:r>
      <w:r w:rsidR="00C83AF5">
        <w:rPr>
          <w:sz w:val="22"/>
          <w:szCs w:val="22"/>
        </w:rPr>
        <w:t xml:space="preserve"> late</w:t>
      </w:r>
      <w:r>
        <w:rPr>
          <w:sz w:val="22"/>
          <w:szCs w:val="22"/>
        </w:rPr>
        <w:t xml:space="preserve"> construction phase and is intentionally located near oil fields to make EOR more feasible.  Similarly, the </w:t>
      </w:r>
      <w:hyperlink r:id="rId46" w:history="1">
        <w:r w:rsidRPr="00570C47">
          <w:rPr>
            <w:rStyle w:val="Hyperlink"/>
            <w:sz w:val="22"/>
            <w:szCs w:val="22"/>
          </w:rPr>
          <w:t>SaskPower Boundary Dam Carbon Capture Project</w:t>
        </w:r>
      </w:hyperlink>
      <w:r>
        <w:rPr>
          <w:sz w:val="22"/>
          <w:szCs w:val="22"/>
        </w:rPr>
        <w:t xml:space="preserve"> in southern Saskatchewan is located near Saskatchewan oil fields to facilitate EOR.  CO</w:t>
      </w:r>
      <w:r w:rsidRPr="009A6543">
        <w:rPr>
          <w:sz w:val="22"/>
          <w:szCs w:val="22"/>
          <w:vertAlign w:val="subscript"/>
        </w:rPr>
        <w:t>2</w:t>
      </w:r>
      <w:r>
        <w:rPr>
          <w:sz w:val="22"/>
          <w:szCs w:val="22"/>
        </w:rPr>
        <w:t xml:space="preserve"> not used for EOR at the SaskPower project will be stored in a nearby (less than 2 miles from the plant) brine-filled sandstone formation.  </w:t>
      </w:r>
      <w:r w:rsidR="00C83AF5">
        <w:rPr>
          <w:sz w:val="22"/>
          <w:szCs w:val="22"/>
        </w:rPr>
        <w:t xml:space="preserve">The </w:t>
      </w:r>
      <w:hyperlink r:id="rId47" w:history="1">
        <w:r w:rsidR="00C83AF5" w:rsidRPr="00C83AF5">
          <w:rPr>
            <w:rStyle w:val="Hyperlink"/>
            <w:sz w:val="22"/>
            <w:szCs w:val="22"/>
          </w:rPr>
          <w:t>Petra Nova</w:t>
        </w:r>
      </w:hyperlink>
      <w:r w:rsidR="00C83AF5">
        <w:rPr>
          <w:sz w:val="22"/>
          <w:szCs w:val="22"/>
        </w:rPr>
        <w:t xml:space="preserve"> project in Texas utilizes CO</w:t>
      </w:r>
      <w:r w:rsidR="00C83AF5" w:rsidRPr="00C83AF5">
        <w:rPr>
          <w:sz w:val="22"/>
          <w:szCs w:val="22"/>
          <w:vertAlign w:val="subscript"/>
        </w:rPr>
        <w:t>2</w:t>
      </w:r>
      <w:r w:rsidR="00C83AF5">
        <w:rPr>
          <w:sz w:val="22"/>
          <w:szCs w:val="22"/>
        </w:rPr>
        <w:t xml:space="preserve"> captured from a coal-fired power plant for EOR in nearby oilfields.  </w:t>
      </w:r>
      <w:r>
        <w:rPr>
          <w:sz w:val="22"/>
          <w:szCs w:val="22"/>
        </w:rPr>
        <w:t xml:space="preserve">This confluence of local opportunities for EOR and amenable geology is clearly not the case for the proposed </w:t>
      </w:r>
      <w:r w:rsidR="00C83AF5">
        <w:rPr>
          <w:sz w:val="22"/>
          <w:szCs w:val="22"/>
        </w:rPr>
        <w:t>H</w:t>
      </w:r>
      <w:r w:rsidR="006C4EE1">
        <w:rPr>
          <w:sz w:val="22"/>
          <w:szCs w:val="22"/>
        </w:rPr>
        <w:t>ighlands EnviroFuels facility</w:t>
      </w:r>
      <w:r>
        <w:rPr>
          <w:sz w:val="22"/>
          <w:szCs w:val="22"/>
        </w:rPr>
        <w:t>.  The lack of information regarding candidate sites for sequestration, the lack of infrastructure for transporting compressed CO</w:t>
      </w:r>
      <w:r w:rsidRPr="00C46D69">
        <w:rPr>
          <w:sz w:val="22"/>
          <w:szCs w:val="22"/>
          <w:vertAlign w:val="subscript"/>
        </w:rPr>
        <w:t>2</w:t>
      </w:r>
      <w:r>
        <w:rPr>
          <w:sz w:val="22"/>
          <w:szCs w:val="22"/>
        </w:rPr>
        <w:t>, and the very high costs cause CCS to be excluded from BACT for this project.</w:t>
      </w:r>
    </w:p>
    <w:p w:rsidR="00336D3A" w:rsidRDefault="00336D3A" w:rsidP="00336D3A">
      <w:pPr>
        <w:widowControl w:val="0"/>
        <w:spacing w:after="120"/>
        <w:rPr>
          <w:sz w:val="22"/>
          <w:szCs w:val="22"/>
        </w:rPr>
      </w:pPr>
      <w:r w:rsidRPr="00336D3A">
        <w:rPr>
          <w:sz w:val="22"/>
          <w:szCs w:val="22"/>
        </w:rPr>
        <w:t xml:space="preserve">The Department also agrees that the use of bagasse and natural gas, together with the </w:t>
      </w:r>
      <w:r w:rsidR="00C83AF5">
        <w:rPr>
          <w:sz w:val="22"/>
          <w:szCs w:val="22"/>
        </w:rPr>
        <w:t>use of an energy efficient boiler design</w:t>
      </w:r>
      <w:r w:rsidRPr="00336D3A">
        <w:rPr>
          <w:sz w:val="22"/>
          <w:szCs w:val="22"/>
        </w:rPr>
        <w:t>, constitute components of</w:t>
      </w:r>
      <w:r>
        <w:rPr>
          <w:sz w:val="22"/>
          <w:szCs w:val="22"/>
        </w:rPr>
        <w:t xml:space="preserve"> GHG BACT for this project.</w:t>
      </w:r>
      <w:r w:rsidR="0036038C">
        <w:rPr>
          <w:sz w:val="22"/>
          <w:szCs w:val="22"/>
        </w:rPr>
        <w:t xml:space="preserve">  The Department will set a GHG BACT limit of 0.42 lb CO</w:t>
      </w:r>
      <w:r w:rsidR="0036038C" w:rsidRPr="004D0A2D">
        <w:rPr>
          <w:sz w:val="22"/>
          <w:szCs w:val="22"/>
          <w:vertAlign w:val="subscript"/>
        </w:rPr>
        <w:t>2</w:t>
      </w:r>
      <w:r w:rsidR="0036038C">
        <w:rPr>
          <w:sz w:val="22"/>
          <w:szCs w:val="22"/>
        </w:rPr>
        <w:t xml:space="preserve"> per lb steam, on a 12-month rolling basis, including all periods of operation</w:t>
      </w:r>
      <w:r w:rsidR="00393743">
        <w:rPr>
          <w:sz w:val="22"/>
          <w:szCs w:val="22"/>
        </w:rPr>
        <w:t>.  Emissions of other GHGs, such as methane and nitrous oxide, are expected to be negligible.</w:t>
      </w:r>
    </w:p>
    <w:p w:rsidR="00310102" w:rsidRDefault="00310102" w:rsidP="00AF6F91">
      <w:pPr>
        <w:pStyle w:val="ListParagraph"/>
        <w:widowControl w:val="0"/>
        <w:numPr>
          <w:ilvl w:val="0"/>
          <w:numId w:val="15"/>
        </w:numPr>
        <w:spacing w:after="120"/>
        <w:ind w:left="720" w:hanging="720"/>
        <w:contextualSpacing w:val="0"/>
        <w:rPr>
          <w:b/>
          <w:caps/>
          <w:sz w:val="22"/>
          <w:szCs w:val="22"/>
        </w:rPr>
      </w:pPr>
      <w:r>
        <w:rPr>
          <w:b/>
          <w:caps/>
          <w:sz w:val="22"/>
          <w:szCs w:val="22"/>
        </w:rPr>
        <w:lastRenderedPageBreak/>
        <w:t>BACT Review for COOLING TOWERS (EU 003)</w:t>
      </w:r>
    </w:p>
    <w:p w:rsidR="00310102" w:rsidRPr="00AF6F91" w:rsidRDefault="00310102" w:rsidP="00AF6F91">
      <w:pPr>
        <w:pStyle w:val="ListParagraph"/>
        <w:widowControl w:val="0"/>
        <w:numPr>
          <w:ilvl w:val="1"/>
          <w:numId w:val="15"/>
        </w:numPr>
        <w:spacing w:after="120"/>
        <w:ind w:left="720" w:hanging="720"/>
        <w:contextualSpacing w:val="0"/>
        <w:rPr>
          <w:b/>
          <w:caps/>
          <w:sz w:val="22"/>
          <w:szCs w:val="22"/>
        </w:rPr>
      </w:pPr>
      <w:r w:rsidRPr="004027AC">
        <w:rPr>
          <w:b/>
          <w:sz w:val="22"/>
          <w:szCs w:val="22"/>
        </w:rPr>
        <w:t>Discussion</w:t>
      </w:r>
    </w:p>
    <w:p w:rsidR="00310102" w:rsidRPr="00310102" w:rsidRDefault="00310102" w:rsidP="00310102">
      <w:pPr>
        <w:widowControl w:val="0"/>
        <w:spacing w:after="120"/>
        <w:rPr>
          <w:sz w:val="22"/>
          <w:szCs w:val="22"/>
        </w:rPr>
      </w:pPr>
      <w:r w:rsidRPr="00310102">
        <w:rPr>
          <w:color w:val="000000"/>
          <w:sz w:val="22"/>
          <w:szCs w:val="22"/>
        </w:rPr>
        <w:t>Up to three cooling towers will be used for machine cooling, cooling the condensing set in the power block, and process cooling</w:t>
      </w:r>
      <w:r w:rsidRPr="00310102">
        <w:rPr>
          <w:sz w:val="22"/>
          <w:szCs w:val="22"/>
        </w:rPr>
        <w:t>.  The design parameters for the cooling towers are:  one cell with a stack height of 35 feet, a combined circulating water flow rate of 34,000 gallons per minute (gpm), a temperature of 77 °F and a design drift rate of 0.001%.</w:t>
      </w:r>
    </w:p>
    <w:p w:rsidR="00310102" w:rsidRPr="00310102" w:rsidRDefault="00310102" w:rsidP="00310102">
      <w:pPr>
        <w:spacing w:before="120" w:after="120"/>
        <w:rPr>
          <w:color w:val="000000"/>
          <w:sz w:val="22"/>
          <w:szCs w:val="22"/>
        </w:rPr>
      </w:pPr>
      <w:r w:rsidRPr="00310102">
        <w:rPr>
          <w:color w:val="000000"/>
          <w:sz w:val="22"/>
          <w:szCs w:val="22"/>
        </w:rPr>
        <w:t>Cooling towers emit PM</w:t>
      </w:r>
      <w:r>
        <w:rPr>
          <w:color w:val="000000"/>
          <w:sz w:val="22"/>
          <w:szCs w:val="22"/>
        </w:rPr>
        <w:t xml:space="preserve">, </w:t>
      </w:r>
      <w:r w:rsidRPr="00310102">
        <w:rPr>
          <w:color w:val="000000"/>
          <w:sz w:val="22"/>
          <w:szCs w:val="22"/>
        </w:rPr>
        <w:t>PM</w:t>
      </w:r>
      <w:r w:rsidRPr="00310102">
        <w:rPr>
          <w:color w:val="000000"/>
          <w:sz w:val="22"/>
          <w:szCs w:val="22"/>
          <w:vertAlign w:val="subscript"/>
        </w:rPr>
        <w:t>10</w:t>
      </w:r>
      <w:r>
        <w:rPr>
          <w:color w:val="000000"/>
          <w:sz w:val="22"/>
          <w:szCs w:val="22"/>
        </w:rPr>
        <w:t xml:space="preserve">, and </w:t>
      </w:r>
      <w:r w:rsidRPr="00310102">
        <w:rPr>
          <w:color w:val="000000"/>
          <w:sz w:val="22"/>
          <w:szCs w:val="22"/>
        </w:rPr>
        <w:t>PM</w:t>
      </w:r>
      <w:r w:rsidRPr="00310102">
        <w:rPr>
          <w:color w:val="000000"/>
          <w:sz w:val="22"/>
          <w:szCs w:val="22"/>
          <w:vertAlign w:val="subscript"/>
        </w:rPr>
        <w:t>2.5</w:t>
      </w:r>
      <w:r w:rsidRPr="00310102">
        <w:rPr>
          <w:color w:val="000000"/>
          <w:sz w:val="22"/>
          <w:szCs w:val="22"/>
        </w:rPr>
        <w:t xml:space="preserve"> based on the total dissolved solids (TDS) loading in the recirculating water.  According to the applicant, the plant will use fresh water with a concentration TDS of only 500 ppmw.  The applicant estimated PM/PM</w:t>
      </w:r>
      <w:r w:rsidRPr="00310102">
        <w:rPr>
          <w:color w:val="000000"/>
          <w:sz w:val="22"/>
          <w:szCs w:val="22"/>
          <w:vertAlign w:val="subscript"/>
        </w:rPr>
        <w:t>10</w:t>
      </w:r>
      <w:r w:rsidRPr="00310102">
        <w:rPr>
          <w:color w:val="000000"/>
          <w:sz w:val="22"/>
          <w:szCs w:val="22"/>
        </w:rPr>
        <w:t>/PM</w:t>
      </w:r>
      <w:r w:rsidRPr="00310102">
        <w:rPr>
          <w:color w:val="000000"/>
          <w:sz w:val="22"/>
          <w:szCs w:val="22"/>
          <w:vertAlign w:val="subscript"/>
        </w:rPr>
        <w:t>2.5</w:t>
      </w:r>
      <w:r w:rsidRPr="00310102">
        <w:rPr>
          <w:color w:val="000000"/>
          <w:sz w:val="22"/>
          <w:szCs w:val="22"/>
        </w:rPr>
        <w:t xml:space="preserve"> emissions at 0.37/0.19/0.19 TPY.</w:t>
      </w:r>
    </w:p>
    <w:p w:rsidR="00310102" w:rsidRPr="00310102" w:rsidRDefault="00310102" w:rsidP="00310102">
      <w:pPr>
        <w:spacing w:after="120"/>
        <w:rPr>
          <w:color w:val="000000"/>
          <w:sz w:val="22"/>
          <w:szCs w:val="22"/>
        </w:rPr>
      </w:pPr>
      <w:r w:rsidRPr="00310102">
        <w:rPr>
          <w:color w:val="000000"/>
          <w:sz w:val="22"/>
          <w:szCs w:val="22"/>
        </w:rPr>
        <w:t>If not properly maintained and operated, heat exchangers in the ethanol process and machines may leak thereby contaminating the water of the associated cooling tower with VOC.  The VOC will subsequently be stripped from the water stream by the air flow thus emitting the VOC to the atmosphere.  HEF did not estimate VOC or organic HAP from the cooling tower presumably due to expected good operation and maintenance.</w:t>
      </w:r>
    </w:p>
    <w:p w:rsidR="00310102" w:rsidRPr="00AF6F91" w:rsidRDefault="00310102" w:rsidP="00AF6F91">
      <w:pPr>
        <w:pStyle w:val="ListParagraph"/>
        <w:widowControl w:val="0"/>
        <w:numPr>
          <w:ilvl w:val="1"/>
          <w:numId w:val="15"/>
        </w:numPr>
        <w:spacing w:after="120"/>
        <w:ind w:left="720" w:hanging="720"/>
        <w:contextualSpacing w:val="0"/>
        <w:rPr>
          <w:b/>
          <w:caps/>
          <w:sz w:val="22"/>
          <w:szCs w:val="22"/>
        </w:rPr>
      </w:pPr>
      <w:r w:rsidRPr="004027AC">
        <w:rPr>
          <w:b/>
          <w:color w:val="000000"/>
          <w:sz w:val="22"/>
          <w:szCs w:val="22"/>
        </w:rPr>
        <w:t>Applicant’s proposal</w:t>
      </w:r>
    </w:p>
    <w:p w:rsidR="002D698B" w:rsidRDefault="00310102" w:rsidP="00310102">
      <w:pPr>
        <w:spacing w:after="120"/>
        <w:rPr>
          <w:color w:val="000000"/>
          <w:sz w:val="22"/>
          <w:szCs w:val="22"/>
        </w:rPr>
      </w:pPr>
      <w:r w:rsidRPr="00310102">
        <w:rPr>
          <w:color w:val="000000"/>
          <w:sz w:val="22"/>
          <w:szCs w:val="22"/>
        </w:rPr>
        <w:t xml:space="preserve">The applicant proposes to </w:t>
      </w:r>
      <w:r>
        <w:rPr>
          <w:color w:val="000000"/>
          <w:sz w:val="22"/>
          <w:szCs w:val="22"/>
        </w:rPr>
        <w:t>reaffirm the original BACT determination for this project.  This includes a drift rate of 0.001% together with a recordkeeping requirement to demonstrate that the TDS of the incoming cooling makeup water is maintained at 500 ppmw or less on an annual basis.  The Department also required expansion of the leak detection and repair (LDAR) plan required for the facility under NSPS Subpart VVa to include the machine cooling and process cooling towers.  This will prevent the intrusion of organic liquids into the cooling water streams in heat exchangers.</w:t>
      </w:r>
    </w:p>
    <w:p w:rsidR="00310102" w:rsidRPr="00AF6F91" w:rsidRDefault="00310102" w:rsidP="00AF6F91">
      <w:pPr>
        <w:pStyle w:val="ListParagraph"/>
        <w:widowControl w:val="0"/>
        <w:numPr>
          <w:ilvl w:val="1"/>
          <w:numId w:val="15"/>
        </w:numPr>
        <w:spacing w:after="120"/>
        <w:ind w:left="720" w:hanging="720"/>
        <w:contextualSpacing w:val="0"/>
        <w:rPr>
          <w:b/>
          <w:caps/>
          <w:sz w:val="22"/>
          <w:szCs w:val="22"/>
        </w:rPr>
      </w:pPr>
      <w:r w:rsidRPr="004027AC">
        <w:rPr>
          <w:b/>
          <w:color w:val="000000"/>
          <w:sz w:val="22"/>
          <w:szCs w:val="22"/>
        </w:rPr>
        <w:t xml:space="preserve">Department’s Determination  </w:t>
      </w:r>
    </w:p>
    <w:p w:rsidR="00310102" w:rsidRPr="00310102" w:rsidRDefault="00310102" w:rsidP="00310102">
      <w:pPr>
        <w:spacing w:after="120"/>
        <w:rPr>
          <w:color w:val="000000"/>
          <w:sz w:val="22"/>
          <w:szCs w:val="22"/>
        </w:rPr>
      </w:pPr>
      <w:r w:rsidRPr="00310102">
        <w:rPr>
          <w:color w:val="000000"/>
          <w:sz w:val="22"/>
          <w:szCs w:val="22"/>
        </w:rPr>
        <w:t xml:space="preserve">In view of the very low TDS value, the requested drift rate is acceptable at 0.001% together with a permit requirement recordkeeping requirement that can demonstrate that TDS of the incoming cooling makeup water is maintained less than or equal to 500 ppmw on an annual basis, the Department accepts the applicant’s BACT proposal for the cooling towers.  </w:t>
      </w:r>
    </w:p>
    <w:p w:rsidR="00310102" w:rsidRPr="00310102" w:rsidRDefault="00310102" w:rsidP="00310102">
      <w:pPr>
        <w:spacing w:after="120"/>
        <w:rPr>
          <w:color w:val="000000"/>
          <w:sz w:val="22"/>
          <w:szCs w:val="22"/>
        </w:rPr>
      </w:pPr>
      <w:r w:rsidRPr="00310102">
        <w:rPr>
          <w:color w:val="000000"/>
          <w:sz w:val="22"/>
          <w:szCs w:val="22"/>
        </w:rPr>
        <w:t>As required by NSPS Subpart VVa, the applicant submitted a preliminary Leak Detection and Repair (LDAR) Program plan.  The Department will require expansion of the LDAR Program plan required for the facility pursuant to NSPA Subpart VVa to include the machine cooling and process cooling towers.  The applicant will be required to collect a sample of cooling water from each tower on a weekly basis and analyze it for VOC.  This will enable the early detection of leaking heat exchangers, thereby minimizing VOC emissions (including organic HAP) and odors.   The applicant is required to submit a final LDAR Program plan that includes the cooling tower to the Compliance Authority 90 days before the HEF facility becomes operational.</w:t>
      </w:r>
    </w:p>
    <w:p w:rsidR="00D73181" w:rsidRDefault="00D73181" w:rsidP="00AF6F91">
      <w:pPr>
        <w:pStyle w:val="ListParagraph"/>
        <w:widowControl w:val="0"/>
        <w:numPr>
          <w:ilvl w:val="0"/>
          <w:numId w:val="15"/>
        </w:numPr>
        <w:spacing w:after="120"/>
        <w:ind w:left="720" w:hanging="720"/>
        <w:contextualSpacing w:val="0"/>
        <w:rPr>
          <w:b/>
          <w:caps/>
          <w:sz w:val="22"/>
          <w:szCs w:val="22"/>
        </w:rPr>
      </w:pPr>
      <w:r>
        <w:rPr>
          <w:b/>
          <w:caps/>
          <w:sz w:val="22"/>
          <w:szCs w:val="22"/>
        </w:rPr>
        <w:t xml:space="preserve">BACT Review for </w:t>
      </w:r>
      <w:r w:rsidR="004027AC">
        <w:rPr>
          <w:b/>
          <w:caps/>
          <w:sz w:val="22"/>
          <w:szCs w:val="22"/>
        </w:rPr>
        <w:t>ETHANOL PRODUCTION PROCESS</w:t>
      </w:r>
      <w:r>
        <w:rPr>
          <w:b/>
          <w:caps/>
          <w:sz w:val="22"/>
          <w:szCs w:val="22"/>
        </w:rPr>
        <w:t xml:space="preserve"> (EU 00</w:t>
      </w:r>
      <w:r w:rsidR="004027AC">
        <w:rPr>
          <w:b/>
          <w:caps/>
          <w:sz w:val="22"/>
          <w:szCs w:val="22"/>
        </w:rPr>
        <w:t>4</w:t>
      </w:r>
      <w:r>
        <w:rPr>
          <w:b/>
          <w:caps/>
          <w:sz w:val="22"/>
          <w:szCs w:val="22"/>
        </w:rPr>
        <w:t>)</w:t>
      </w:r>
    </w:p>
    <w:p w:rsidR="004027AC" w:rsidRPr="00AF6F91" w:rsidRDefault="004027AC" w:rsidP="00AF6F91">
      <w:pPr>
        <w:pStyle w:val="ListParagraph"/>
        <w:widowControl w:val="0"/>
        <w:numPr>
          <w:ilvl w:val="1"/>
          <w:numId w:val="15"/>
        </w:numPr>
        <w:spacing w:after="120"/>
        <w:ind w:left="720" w:hanging="720"/>
        <w:contextualSpacing w:val="0"/>
        <w:rPr>
          <w:b/>
          <w:caps/>
          <w:sz w:val="22"/>
          <w:szCs w:val="22"/>
        </w:rPr>
      </w:pPr>
      <w:r>
        <w:rPr>
          <w:b/>
          <w:sz w:val="22"/>
          <w:szCs w:val="22"/>
        </w:rPr>
        <w:t>VOC Emissions</w:t>
      </w:r>
    </w:p>
    <w:p w:rsidR="004027AC" w:rsidRPr="00155062" w:rsidRDefault="004027AC" w:rsidP="004027AC">
      <w:pPr>
        <w:pStyle w:val="ListParagraph"/>
        <w:widowControl w:val="0"/>
        <w:numPr>
          <w:ilvl w:val="2"/>
          <w:numId w:val="15"/>
        </w:numPr>
        <w:spacing w:after="120"/>
        <w:ind w:left="720" w:hanging="720"/>
        <w:contextualSpacing w:val="0"/>
        <w:rPr>
          <w:sz w:val="22"/>
          <w:szCs w:val="22"/>
          <w:u w:val="single"/>
        </w:rPr>
      </w:pPr>
      <w:r w:rsidRPr="00155062">
        <w:rPr>
          <w:sz w:val="22"/>
          <w:szCs w:val="22"/>
          <w:u w:val="single"/>
        </w:rPr>
        <w:t xml:space="preserve"> Discussion</w:t>
      </w:r>
    </w:p>
    <w:p w:rsidR="004027AC" w:rsidRDefault="004027AC" w:rsidP="004027AC">
      <w:pPr>
        <w:widowControl w:val="0"/>
        <w:spacing w:after="120"/>
        <w:rPr>
          <w:sz w:val="22"/>
          <w:szCs w:val="22"/>
        </w:rPr>
      </w:pPr>
      <w:r w:rsidRPr="004027AC">
        <w:rPr>
          <w:sz w:val="22"/>
          <w:szCs w:val="22"/>
        </w:rPr>
        <w:t>The ethanol production process will result in the emissions of ethanol (C</w:t>
      </w:r>
      <w:r w:rsidRPr="004027AC">
        <w:rPr>
          <w:sz w:val="22"/>
          <w:szCs w:val="22"/>
          <w:vertAlign w:val="subscript"/>
        </w:rPr>
        <w:t>2</w:t>
      </w:r>
      <w:r w:rsidRPr="004027AC">
        <w:rPr>
          <w:sz w:val="22"/>
          <w:szCs w:val="22"/>
        </w:rPr>
        <w:t>H</w:t>
      </w:r>
      <w:r w:rsidRPr="004027AC">
        <w:rPr>
          <w:sz w:val="22"/>
          <w:szCs w:val="22"/>
          <w:vertAlign w:val="subscript"/>
        </w:rPr>
        <w:t>5</w:t>
      </w:r>
      <w:r w:rsidRPr="004027AC">
        <w:rPr>
          <w:sz w:val="22"/>
          <w:szCs w:val="22"/>
        </w:rPr>
        <w:t>OH) and other VOC such as acetic acid, lactic acid, and methanol (a HAP).  These emissions will occur from the fermentation, distillation, and dehydration steps, as the ethanol is separated from the fermentation products.  Properly designed scrubbers and thermal oxidizers (TO) can effectively control VOC and HAP emissions from ethanol production processes.</w:t>
      </w:r>
    </w:p>
    <w:p w:rsidR="004027AC" w:rsidRDefault="004027AC" w:rsidP="004027AC">
      <w:pPr>
        <w:widowControl w:val="0"/>
        <w:spacing w:after="120"/>
        <w:rPr>
          <w:sz w:val="22"/>
          <w:szCs w:val="22"/>
        </w:rPr>
      </w:pPr>
      <w:r w:rsidRPr="004027AC">
        <w:rPr>
          <w:sz w:val="22"/>
          <w:szCs w:val="22"/>
        </w:rPr>
        <w:t>Wet scrubbers (water as solvent) can achieve good VOC reduction objectives when used on ethanol plants.  Ethanol (C</w:t>
      </w:r>
      <w:r w:rsidRPr="004027AC">
        <w:rPr>
          <w:sz w:val="22"/>
          <w:szCs w:val="22"/>
          <w:vertAlign w:val="subscript"/>
        </w:rPr>
        <w:t>2</w:t>
      </w:r>
      <w:r w:rsidRPr="004027AC">
        <w:rPr>
          <w:sz w:val="22"/>
          <w:szCs w:val="22"/>
        </w:rPr>
        <w:t>H</w:t>
      </w:r>
      <w:r w:rsidRPr="004027AC">
        <w:rPr>
          <w:sz w:val="22"/>
          <w:szCs w:val="22"/>
          <w:vertAlign w:val="subscript"/>
        </w:rPr>
        <w:t>5</w:t>
      </w:r>
      <w:r w:rsidRPr="004027AC">
        <w:rPr>
          <w:sz w:val="22"/>
          <w:szCs w:val="22"/>
        </w:rPr>
        <w:t>OH), which comprises the bulk of the VOC emissions, is completely miscible in water.  A properly designed scrubber could achieve a level of removal 99% or greater.  Organic acids and strongly polarized molecules such as acetic acid (CH</w:t>
      </w:r>
      <w:r w:rsidRPr="004027AC">
        <w:rPr>
          <w:sz w:val="22"/>
          <w:szCs w:val="22"/>
          <w:vertAlign w:val="subscript"/>
        </w:rPr>
        <w:t>3</w:t>
      </w:r>
      <w:r w:rsidRPr="004027AC">
        <w:rPr>
          <w:sz w:val="22"/>
          <w:szCs w:val="22"/>
        </w:rPr>
        <w:t>COOH) and methanol (CH</w:t>
      </w:r>
      <w:r w:rsidRPr="004027AC">
        <w:rPr>
          <w:sz w:val="22"/>
          <w:szCs w:val="22"/>
          <w:vertAlign w:val="subscript"/>
        </w:rPr>
        <w:t>3</w:t>
      </w:r>
      <w:r w:rsidRPr="004027AC">
        <w:rPr>
          <w:sz w:val="22"/>
          <w:szCs w:val="22"/>
        </w:rPr>
        <w:t xml:space="preserve">OH – a HAP) can also be removed in a properly designed scrubber due to their strong interaction with water.  A wet scrubber using water as a solvent can therefore be designed to accomplish excellent removal of VOC, especially from the distillation/dehydration </w:t>
      </w:r>
      <w:r w:rsidRPr="004027AC">
        <w:rPr>
          <w:sz w:val="22"/>
          <w:szCs w:val="22"/>
        </w:rPr>
        <w:lastRenderedPageBreak/>
        <w:t>steps.</w:t>
      </w:r>
    </w:p>
    <w:p w:rsidR="004027AC" w:rsidRDefault="004027AC" w:rsidP="004027AC">
      <w:pPr>
        <w:widowControl w:val="0"/>
        <w:spacing w:after="120"/>
        <w:rPr>
          <w:sz w:val="22"/>
          <w:szCs w:val="22"/>
        </w:rPr>
      </w:pPr>
      <w:r w:rsidRPr="004027AC">
        <w:rPr>
          <w:sz w:val="22"/>
          <w:szCs w:val="22"/>
        </w:rPr>
        <w:t>Non-polar VOC such as ethyl acetate (C</w:t>
      </w:r>
      <w:r w:rsidRPr="004027AC">
        <w:rPr>
          <w:sz w:val="22"/>
          <w:szCs w:val="22"/>
          <w:vertAlign w:val="subscript"/>
        </w:rPr>
        <w:t>4</w:t>
      </w:r>
      <w:r w:rsidRPr="004027AC">
        <w:rPr>
          <w:sz w:val="22"/>
          <w:szCs w:val="22"/>
        </w:rPr>
        <w:t>H</w:t>
      </w:r>
      <w:r w:rsidRPr="004027AC">
        <w:rPr>
          <w:sz w:val="22"/>
          <w:szCs w:val="22"/>
          <w:vertAlign w:val="subscript"/>
        </w:rPr>
        <w:t>8</w:t>
      </w:r>
      <w:r w:rsidRPr="004027AC">
        <w:rPr>
          <w:sz w:val="22"/>
          <w:szCs w:val="22"/>
        </w:rPr>
        <w:t>O</w:t>
      </w:r>
      <w:r w:rsidRPr="004027AC">
        <w:rPr>
          <w:sz w:val="22"/>
          <w:szCs w:val="22"/>
          <w:vertAlign w:val="subscript"/>
        </w:rPr>
        <w:t>2</w:t>
      </w:r>
      <w:r w:rsidRPr="004027AC">
        <w:rPr>
          <w:sz w:val="22"/>
          <w:szCs w:val="22"/>
        </w:rPr>
        <w:t>) and HAP such as acetaldehyde</w:t>
      </w:r>
      <w:r w:rsidRPr="004027AC">
        <w:rPr>
          <w:color w:val="000000"/>
          <w:sz w:val="18"/>
          <w:szCs w:val="18"/>
          <w:lang w:val="nl-NL"/>
        </w:rPr>
        <w:t xml:space="preserve"> (</w:t>
      </w:r>
      <w:r w:rsidRPr="004027AC">
        <w:rPr>
          <w:sz w:val="22"/>
          <w:szCs w:val="22"/>
          <w:lang w:val="nl-NL"/>
        </w:rPr>
        <w:t>C</w:t>
      </w:r>
      <w:r w:rsidRPr="004027AC">
        <w:rPr>
          <w:sz w:val="22"/>
          <w:szCs w:val="22"/>
          <w:vertAlign w:val="subscript"/>
          <w:lang w:val="nl-NL"/>
        </w:rPr>
        <w:t>2</w:t>
      </w:r>
      <w:r w:rsidRPr="004027AC">
        <w:rPr>
          <w:sz w:val="22"/>
          <w:szCs w:val="22"/>
          <w:lang w:val="nl-NL"/>
        </w:rPr>
        <w:t>H</w:t>
      </w:r>
      <w:r w:rsidRPr="004027AC">
        <w:rPr>
          <w:sz w:val="22"/>
          <w:szCs w:val="22"/>
          <w:vertAlign w:val="subscript"/>
          <w:lang w:val="nl-NL"/>
        </w:rPr>
        <w:t>4</w:t>
      </w:r>
      <w:r w:rsidRPr="004027AC">
        <w:rPr>
          <w:sz w:val="22"/>
          <w:szCs w:val="22"/>
          <w:lang w:val="nl-NL"/>
        </w:rPr>
        <w:t>O)</w:t>
      </w:r>
      <w:r w:rsidRPr="004027AC">
        <w:rPr>
          <w:sz w:val="22"/>
          <w:szCs w:val="22"/>
        </w:rPr>
        <w:t xml:space="preserve"> and acrolein </w:t>
      </w:r>
      <w:r w:rsidRPr="004027AC">
        <w:rPr>
          <w:sz w:val="22"/>
          <w:szCs w:val="22"/>
          <w:lang w:val="nl-NL"/>
        </w:rPr>
        <w:t>(C</w:t>
      </w:r>
      <w:r w:rsidRPr="004027AC">
        <w:rPr>
          <w:sz w:val="22"/>
          <w:szCs w:val="22"/>
          <w:vertAlign w:val="subscript"/>
          <w:lang w:val="nl-NL"/>
        </w:rPr>
        <w:t>3</w:t>
      </w:r>
      <w:r w:rsidRPr="004027AC">
        <w:rPr>
          <w:sz w:val="22"/>
          <w:szCs w:val="22"/>
          <w:lang w:val="nl-NL"/>
        </w:rPr>
        <w:t>H</w:t>
      </w:r>
      <w:r w:rsidRPr="004027AC">
        <w:rPr>
          <w:sz w:val="22"/>
          <w:szCs w:val="22"/>
          <w:vertAlign w:val="subscript"/>
          <w:lang w:val="nl-NL"/>
        </w:rPr>
        <w:t>4</w:t>
      </w:r>
      <w:r w:rsidRPr="004027AC">
        <w:rPr>
          <w:sz w:val="22"/>
          <w:szCs w:val="22"/>
          <w:lang w:val="nl-NL"/>
        </w:rPr>
        <w:t xml:space="preserve">O) </w:t>
      </w:r>
      <w:r w:rsidRPr="004027AC">
        <w:rPr>
          <w:sz w:val="22"/>
          <w:szCs w:val="22"/>
        </w:rPr>
        <w:t>are not as efficiently removed as C</w:t>
      </w:r>
      <w:r w:rsidRPr="004027AC">
        <w:rPr>
          <w:sz w:val="22"/>
          <w:szCs w:val="22"/>
          <w:vertAlign w:val="subscript"/>
        </w:rPr>
        <w:t>2</w:t>
      </w:r>
      <w:r w:rsidRPr="004027AC">
        <w:rPr>
          <w:sz w:val="22"/>
          <w:szCs w:val="22"/>
        </w:rPr>
        <w:t>H</w:t>
      </w:r>
      <w:r w:rsidRPr="004027AC">
        <w:rPr>
          <w:sz w:val="22"/>
          <w:szCs w:val="22"/>
          <w:vertAlign w:val="subscript"/>
        </w:rPr>
        <w:t>5</w:t>
      </w:r>
      <w:r w:rsidRPr="004027AC">
        <w:rPr>
          <w:sz w:val="22"/>
          <w:szCs w:val="22"/>
        </w:rPr>
        <w:t>OH when using a wet scrubber that uses only water as a solvent.</w:t>
      </w:r>
      <w:r>
        <w:rPr>
          <w:sz w:val="22"/>
          <w:szCs w:val="22"/>
        </w:rPr>
        <w:t xml:space="preserve">  Reagents such as sodium bisulfite (NaHSO</w:t>
      </w:r>
      <w:r w:rsidRPr="00214742">
        <w:rPr>
          <w:sz w:val="22"/>
          <w:szCs w:val="22"/>
          <w:vertAlign w:val="subscript"/>
        </w:rPr>
        <w:t>3</w:t>
      </w:r>
      <w:r>
        <w:rPr>
          <w:sz w:val="22"/>
          <w:szCs w:val="22"/>
        </w:rPr>
        <w:t xml:space="preserve"> - a food preservative) can be added to the scrubber water that will react with aldehydes to form an “adduct” that precipitates, thus allowing removal of at least the key HAP.  </w:t>
      </w:r>
    </w:p>
    <w:p w:rsidR="004027AC" w:rsidRDefault="004027AC" w:rsidP="004027AC">
      <w:pPr>
        <w:widowControl w:val="0"/>
        <w:spacing w:after="120"/>
        <w:rPr>
          <w:sz w:val="22"/>
          <w:szCs w:val="22"/>
        </w:rPr>
      </w:pPr>
      <w:r>
        <w:rPr>
          <w:sz w:val="22"/>
          <w:szCs w:val="22"/>
        </w:rPr>
        <w:t xml:space="preserve">While a TO can be used to treat emissions from the fermentation and distillation/dehydration scrubbers, these are typically used to control emissions from the drying of solid residue such as </w:t>
      </w:r>
      <w:r w:rsidRPr="009A1C08">
        <w:rPr>
          <w:sz w:val="22"/>
          <w:szCs w:val="22"/>
        </w:rPr>
        <w:t xml:space="preserve">Dried Distillers Grains with </w:t>
      </w:r>
      <w:proofErr w:type="spellStart"/>
      <w:r w:rsidRPr="009A1C08">
        <w:rPr>
          <w:sz w:val="22"/>
          <w:szCs w:val="22"/>
        </w:rPr>
        <w:t>Solubles</w:t>
      </w:r>
      <w:proofErr w:type="spellEnd"/>
      <w:r>
        <w:rPr>
          <w:sz w:val="22"/>
          <w:szCs w:val="22"/>
        </w:rPr>
        <w:t xml:space="preserve"> (DDGS</w:t>
      </w:r>
      <w:r w:rsidRPr="009A1C08">
        <w:rPr>
          <w:sz w:val="22"/>
          <w:szCs w:val="22"/>
        </w:rPr>
        <w:t xml:space="preserve">), </w:t>
      </w:r>
      <w:r>
        <w:rPr>
          <w:sz w:val="22"/>
          <w:szCs w:val="22"/>
        </w:rPr>
        <w:t>which is a by</w:t>
      </w:r>
      <w:r w:rsidRPr="009A1C08">
        <w:rPr>
          <w:sz w:val="22"/>
          <w:szCs w:val="22"/>
        </w:rPr>
        <w:t xml:space="preserve">product of the </w:t>
      </w:r>
      <w:r>
        <w:rPr>
          <w:sz w:val="22"/>
          <w:szCs w:val="22"/>
        </w:rPr>
        <w:t>more traditional grain-to-</w:t>
      </w:r>
      <w:r w:rsidRPr="009A1C08">
        <w:rPr>
          <w:sz w:val="22"/>
          <w:szCs w:val="22"/>
        </w:rPr>
        <w:t>ethanol production process</w:t>
      </w:r>
      <w:r>
        <w:rPr>
          <w:sz w:val="22"/>
          <w:szCs w:val="22"/>
        </w:rPr>
        <w:t xml:space="preserve">.  </w:t>
      </w:r>
    </w:p>
    <w:p w:rsidR="004027AC" w:rsidRPr="00155062" w:rsidRDefault="004027AC" w:rsidP="004027AC">
      <w:pPr>
        <w:pStyle w:val="ListParagraph"/>
        <w:widowControl w:val="0"/>
        <w:numPr>
          <w:ilvl w:val="2"/>
          <w:numId w:val="15"/>
        </w:numPr>
        <w:spacing w:after="120"/>
        <w:ind w:left="720" w:hanging="720"/>
        <w:contextualSpacing w:val="0"/>
        <w:rPr>
          <w:sz w:val="22"/>
          <w:szCs w:val="22"/>
          <w:u w:val="single"/>
        </w:rPr>
      </w:pPr>
      <w:r w:rsidRPr="00155062">
        <w:rPr>
          <w:sz w:val="22"/>
          <w:szCs w:val="22"/>
          <w:u w:val="single"/>
        </w:rPr>
        <w:t>Applicant’s Proposal</w:t>
      </w:r>
    </w:p>
    <w:p w:rsidR="004027AC" w:rsidRPr="004027AC" w:rsidRDefault="004027AC" w:rsidP="004027AC">
      <w:pPr>
        <w:spacing w:after="120"/>
        <w:rPr>
          <w:sz w:val="22"/>
          <w:szCs w:val="22"/>
        </w:rPr>
      </w:pPr>
      <w:r>
        <w:rPr>
          <w:sz w:val="22"/>
          <w:szCs w:val="22"/>
        </w:rPr>
        <w:t>The Department’s original BACT determination included the use of two wet scrubbers to control VOC (and HAP) emissions from the ethanol production process.  The scrubbing liquor would include a sodium bisulf</w:t>
      </w:r>
      <w:r w:rsidR="0035560D">
        <w:rPr>
          <w:sz w:val="22"/>
          <w:szCs w:val="22"/>
        </w:rPr>
        <w:t>i</w:t>
      </w:r>
      <w:r>
        <w:rPr>
          <w:sz w:val="22"/>
          <w:szCs w:val="22"/>
        </w:rPr>
        <w:t>te reagent to enhance VOC and HAP capture</w:t>
      </w:r>
      <w:r w:rsidR="007F66CB">
        <w:rPr>
          <w:sz w:val="22"/>
          <w:szCs w:val="22"/>
        </w:rPr>
        <w:t xml:space="preserve"> of aldehydes</w:t>
      </w:r>
      <w:r>
        <w:rPr>
          <w:sz w:val="22"/>
          <w:szCs w:val="22"/>
        </w:rPr>
        <w:t>, particularly acetaldehyde</w:t>
      </w:r>
      <w:r w:rsidR="007F66CB">
        <w:rPr>
          <w:sz w:val="22"/>
          <w:szCs w:val="22"/>
        </w:rPr>
        <w:t xml:space="preserve"> and acrolein</w:t>
      </w:r>
      <w:r>
        <w:rPr>
          <w:sz w:val="22"/>
          <w:szCs w:val="22"/>
        </w:rPr>
        <w:t xml:space="preserve">.  Each scrubber would have a design capture efficiency for VOC and HAP of 98%.  </w:t>
      </w:r>
      <w:r w:rsidR="0035560D">
        <w:rPr>
          <w:sz w:val="22"/>
          <w:szCs w:val="22"/>
        </w:rPr>
        <w:t xml:space="preserve">The limits on VOC emissions were 19.01 lb/hr for the fermentation scrubber stack and 2.78 lb/hr for the distillation/dehydration scrubber stack.  </w:t>
      </w:r>
      <w:r>
        <w:rPr>
          <w:sz w:val="22"/>
          <w:szCs w:val="22"/>
        </w:rPr>
        <w:t>The applicant has proposed that the Department re-affirm this previous BACT determination.</w:t>
      </w:r>
    </w:p>
    <w:p w:rsidR="003722E3" w:rsidRPr="00155062" w:rsidRDefault="003722E3" w:rsidP="003722E3">
      <w:pPr>
        <w:pStyle w:val="ListParagraph"/>
        <w:widowControl w:val="0"/>
        <w:numPr>
          <w:ilvl w:val="2"/>
          <w:numId w:val="15"/>
        </w:numPr>
        <w:spacing w:after="120"/>
        <w:ind w:left="720" w:hanging="720"/>
        <w:contextualSpacing w:val="0"/>
        <w:rPr>
          <w:sz w:val="22"/>
          <w:szCs w:val="22"/>
          <w:u w:val="single"/>
        </w:rPr>
      </w:pPr>
      <w:r w:rsidRPr="00155062">
        <w:rPr>
          <w:sz w:val="22"/>
          <w:szCs w:val="22"/>
          <w:u w:val="single"/>
        </w:rPr>
        <w:t>Department’s Determination</w:t>
      </w:r>
    </w:p>
    <w:p w:rsidR="00310102" w:rsidRDefault="003722E3" w:rsidP="003722E3">
      <w:pPr>
        <w:spacing w:after="120"/>
        <w:rPr>
          <w:sz w:val="22"/>
          <w:szCs w:val="22"/>
        </w:rPr>
      </w:pPr>
      <w:r>
        <w:rPr>
          <w:sz w:val="22"/>
          <w:szCs w:val="22"/>
        </w:rPr>
        <w:t xml:space="preserve">There have been no fundamental changes in VOC controls in the period since the original BACT determination.  The Department agrees that a thermal oxidizer would be not be cost effective for this unit, considering the high capture efficiency of the proposed scrubber system with sodium bisulfite reagent and the destruction of ethanol product that would occur in a thermal oxidizer.  </w:t>
      </w:r>
      <w:r w:rsidRPr="006E3A10">
        <w:rPr>
          <w:color w:val="000000"/>
          <w:sz w:val="22"/>
          <w:szCs w:val="22"/>
        </w:rPr>
        <w:t>The Department accepts the wet scrubbers described by the applicant as BACT for this emissions unit with the following emission limits:  VOC emissions through the fermentation scrubber stack shall not exceed 19.01</w:t>
      </w:r>
      <w:r>
        <w:rPr>
          <w:color w:val="000000"/>
          <w:sz w:val="22"/>
          <w:szCs w:val="22"/>
        </w:rPr>
        <w:t xml:space="preserve"> lb/hr, and</w:t>
      </w:r>
      <w:r w:rsidRPr="006E3A10">
        <w:rPr>
          <w:color w:val="000000"/>
          <w:sz w:val="22"/>
          <w:szCs w:val="22"/>
        </w:rPr>
        <w:t xml:space="preserve"> VOC emissions through the </w:t>
      </w:r>
      <w:r w:rsidRPr="006E3A10">
        <w:rPr>
          <w:iCs/>
          <w:color w:val="000000"/>
          <w:sz w:val="22"/>
          <w:szCs w:val="22"/>
        </w:rPr>
        <w:t xml:space="preserve">distillation/dehydration </w:t>
      </w:r>
      <w:r w:rsidRPr="006E3A10">
        <w:rPr>
          <w:color w:val="000000"/>
          <w:sz w:val="22"/>
          <w:szCs w:val="22"/>
        </w:rPr>
        <w:t>scrubber vent shall not exceed 2.78 lb/hr</w:t>
      </w:r>
      <w:r>
        <w:rPr>
          <w:color w:val="000000"/>
          <w:sz w:val="22"/>
          <w:szCs w:val="22"/>
        </w:rPr>
        <w:t xml:space="preserve">.  As was noted in the original BACT determination, </w:t>
      </w:r>
      <w:r w:rsidRPr="006E3A10">
        <w:rPr>
          <w:sz w:val="22"/>
          <w:szCs w:val="22"/>
        </w:rPr>
        <w:t>the vendor will need to insure that the appropriate scrubber liquids or additives are used to remove C</w:t>
      </w:r>
      <w:r w:rsidRPr="006E3A10">
        <w:rPr>
          <w:sz w:val="22"/>
          <w:szCs w:val="22"/>
          <w:vertAlign w:val="subscript"/>
        </w:rPr>
        <w:t>4</w:t>
      </w:r>
      <w:r w:rsidRPr="006E3A10">
        <w:rPr>
          <w:sz w:val="22"/>
          <w:szCs w:val="22"/>
        </w:rPr>
        <w:t>H</w:t>
      </w:r>
      <w:r w:rsidRPr="006E3A10">
        <w:rPr>
          <w:sz w:val="22"/>
          <w:szCs w:val="22"/>
          <w:vertAlign w:val="subscript"/>
        </w:rPr>
        <w:t>8</w:t>
      </w:r>
      <w:r w:rsidRPr="006E3A10">
        <w:rPr>
          <w:sz w:val="22"/>
          <w:szCs w:val="22"/>
        </w:rPr>
        <w:t>O</w:t>
      </w:r>
      <w:r w:rsidRPr="006E3A10">
        <w:rPr>
          <w:sz w:val="22"/>
          <w:szCs w:val="22"/>
          <w:vertAlign w:val="subscript"/>
        </w:rPr>
        <w:t>2</w:t>
      </w:r>
      <w:r w:rsidRPr="006E3A10">
        <w:rPr>
          <w:sz w:val="22"/>
          <w:szCs w:val="22"/>
        </w:rPr>
        <w:t xml:space="preserve"> (the key VOC other than ethanol) in order to comply with the VOC emission limit.</w:t>
      </w:r>
    </w:p>
    <w:p w:rsidR="00194927" w:rsidRPr="00833DBB" w:rsidRDefault="00194927" w:rsidP="00194927">
      <w:pPr>
        <w:widowControl w:val="0"/>
        <w:spacing w:after="120"/>
        <w:rPr>
          <w:color w:val="000000"/>
          <w:sz w:val="22"/>
          <w:szCs w:val="22"/>
        </w:rPr>
      </w:pPr>
      <w:r>
        <w:rPr>
          <w:sz w:val="22"/>
          <w:szCs w:val="22"/>
        </w:rPr>
        <w:t xml:space="preserve">Initial and annual stack tests for these two VOC limits will be required.  </w:t>
      </w:r>
      <w:r w:rsidRPr="00566E43">
        <w:rPr>
          <w:color w:val="000000"/>
          <w:sz w:val="22"/>
          <w:szCs w:val="22"/>
        </w:rPr>
        <w:t>In addition</w:t>
      </w:r>
      <w:r>
        <w:rPr>
          <w:color w:val="000000"/>
          <w:sz w:val="22"/>
          <w:szCs w:val="22"/>
        </w:rPr>
        <w:t>, the Department establishes the following requirements:</w:t>
      </w:r>
    </w:p>
    <w:p w:rsidR="00194927" w:rsidRDefault="00194927" w:rsidP="00FD32D5">
      <w:pPr>
        <w:pStyle w:val="ListParagraph"/>
        <w:numPr>
          <w:ilvl w:val="0"/>
          <w:numId w:val="28"/>
        </w:numPr>
        <w:spacing w:after="120"/>
        <w:ind w:left="360"/>
        <w:contextualSpacing w:val="0"/>
        <w:rPr>
          <w:sz w:val="22"/>
          <w:szCs w:val="22"/>
        </w:rPr>
      </w:pPr>
      <w:r w:rsidRPr="005B18DC">
        <w:rPr>
          <w:sz w:val="22"/>
          <w:szCs w:val="22"/>
        </w:rPr>
        <w:t xml:space="preserve">The applicant will have to comply with the Department’s objectionable odor regulation Rule </w:t>
      </w:r>
      <w:r>
        <w:rPr>
          <w:sz w:val="22"/>
          <w:szCs w:val="22"/>
        </w:rPr>
        <w:br/>
      </w:r>
      <w:r w:rsidRPr="005B18DC">
        <w:rPr>
          <w:bCs/>
          <w:sz w:val="22"/>
          <w:szCs w:val="22"/>
        </w:rPr>
        <w:t>62-296.320(2), F.A.C., which states:  “</w:t>
      </w:r>
      <w:r w:rsidRPr="00111E7D">
        <w:rPr>
          <w:i/>
          <w:sz w:val="22"/>
          <w:szCs w:val="22"/>
        </w:rPr>
        <w:t>No person shall cause, suffer, allow or permit the discharge of air pollutants which cause or contribute to an objectionable odor</w:t>
      </w:r>
      <w:r w:rsidRPr="005B18DC">
        <w:rPr>
          <w:sz w:val="22"/>
          <w:szCs w:val="22"/>
        </w:rPr>
        <w:t>”.  While the applicant may install wet scrubbers</w:t>
      </w:r>
      <w:r>
        <w:rPr>
          <w:sz w:val="22"/>
          <w:szCs w:val="22"/>
        </w:rPr>
        <w:t>,</w:t>
      </w:r>
      <w:r w:rsidRPr="005B18DC">
        <w:rPr>
          <w:sz w:val="22"/>
          <w:szCs w:val="22"/>
        </w:rPr>
        <w:t xml:space="preserve"> the Department notes that </w:t>
      </w:r>
      <w:r>
        <w:rPr>
          <w:sz w:val="22"/>
          <w:szCs w:val="22"/>
        </w:rPr>
        <w:t xml:space="preserve">the applicant </w:t>
      </w:r>
      <w:r w:rsidRPr="005B18DC">
        <w:rPr>
          <w:sz w:val="22"/>
          <w:szCs w:val="22"/>
        </w:rPr>
        <w:t>would have to apply for a permit to install additional control equipment or inject reagents</w:t>
      </w:r>
      <w:r>
        <w:rPr>
          <w:sz w:val="22"/>
          <w:szCs w:val="22"/>
        </w:rPr>
        <w:t xml:space="preserve"> into the scrubbers</w:t>
      </w:r>
      <w:r w:rsidRPr="005B18DC">
        <w:rPr>
          <w:sz w:val="22"/>
          <w:szCs w:val="22"/>
        </w:rPr>
        <w:t xml:space="preserve"> to address objectionable odor problems.  </w:t>
      </w:r>
    </w:p>
    <w:p w:rsidR="00194927" w:rsidRPr="00AF6F91" w:rsidRDefault="00FD32D5" w:rsidP="00AF6F91">
      <w:pPr>
        <w:pStyle w:val="ListParagraph"/>
        <w:widowControl w:val="0"/>
        <w:numPr>
          <w:ilvl w:val="1"/>
          <w:numId w:val="15"/>
        </w:numPr>
        <w:spacing w:after="120"/>
        <w:ind w:left="720" w:hanging="720"/>
        <w:contextualSpacing w:val="0"/>
        <w:rPr>
          <w:b/>
          <w:caps/>
          <w:sz w:val="22"/>
          <w:szCs w:val="22"/>
        </w:rPr>
      </w:pPr>
      <w:r w:rsidRPr="00FD32D5">
        <w:rPr>
          <w:b/>
          <w:sz w:val="22"/>
          <w:szCs w:val="22"/>
        </w:rPr>
        <w:t>GHG Emissions</w:t>
      </w:r>
    </w:p>
    <w:p w:rsidR="00FD32D5" w:rsidRPr="00155062" w:rsidRDefault="00FD32D5" w:rsidP="00FD32D5">
      <w:pPr>
        <w:pStyle w:val="ListParagraph"/>
        <w:widowControl w:val="0"/>
        <w:numPr>
          <w:ilvl w:val="2"/>
          <w:numId w:val="15"/>
        </w:numPr>
        <w:spacing w:after="120"/>
        <w:ind w:left="720" w:hanging="720"/>
        <w:contextualSpacing w:val="0"/>
        <w:rPr>
          <w:sz w:val="22"/>
          <w:szCs w:val="22"/>
          <w:u w:val="single"/>
        </w:rPr>
      </w:pPr>
      <w:r w:rsidRPr="00155062">
        <w:rPr>
          <w:sz w:val="22"/>
          <w:szCs w:val="22"/>
          <w:u w:val="single"/>
        </w:rPr>
        <w:t>Discussion</w:t>
      </w:r>
    </w:p>
    <w:p w:rsidR="00FD32D5" w:rsidRDefault="006C3F2B" w:rsidP="00FD32D5">
      <w:pPr>
        <w:widowControl w:val="0"/>
        <w:spacing w:after="120"/>
        <w:ind w:left="18"/>
        <w:rPr>
          <w:sz w:val="22"/>
          <w:szCs w:val="22"/>
        </w:rPr>
      </w:pPr>
      <w:r w:rsidRPr="006C3F2B">
        <w:rPr>
          <w:sz w:val="22"/>
          <w:szCs w:val="22"/>
        </w:rPr>
        <w:t>CO</w:t>
      </w:r>
      <w:r w:rsidRPr="006C3F2B">
        <w:rPr>
          <w:sz w:val="22"/>
          <w:szCs w:val="22"/>
          <w:vertAlign w:val="subscript"/>
        </w:rPr>
        <w:t>2</w:t>
      </w:r>
      <w:r w:rsidRPr="006C3F2B">
        <w:rPr>
          <w:sz w:val="22"/>
          <w:szCs w:val="22"/>
        </w:rPr>
        <w:t xml:space="preserve"> is a natural product of the fermentation process.</w:t>
      </w:r>
      <w:r w:rsidR="00F76E60">
        <w:rPr>
          <w:sz w:val="22"/>
          <w:szCs w:val="22"/>
        </w:rPr>
        <w:t xml:space="preserve">  A molecule of sucrose</w:t>
      </w:r>
      <w:r w:rsidR="005F3A86">
        <w:rPr>
          <w:sz w:val="22"/>
          <w:szCs w:val="22"/>
        </w:rPr>
        <w:t xml:space="preserve"> (C</w:t>
      </w:r>
      <w:r w:rsidR="005F3A86">
        <w:rPr>
          <w:sz w:val="22"/>
          <w:szCs w:val="22"/>
          <w:vertAlign w:val="subscript"/>
        </w:rPr>
        <w:t>12</w:t>
      </w:r>
      <w:r w:rsidR="005F3A86">
        <w:rPr>
          <w:sz w:val="22"/>
          <w:szCs w:val="22"/>
        </w:rPr>
        <w:t>H</w:t>
      </w:r>
      <w:r w:rsidR="005F3A86">
        <w:rPr>
          <w:sz w:val="22"/>
          <w:szCs w:val="22"/>
          <w:vertAlign w:val="subscript"/>
        </w:rPr>
        <w:t>2</w:t>
      </w:r>
      <w:r w:rsidR="005F3A86" w:rsidRPr="005F3A86">
        <w:rPr>
          <w:sz w:val="22"/>
          <w:szCs w:val="22"/>
          <w:vertAlign w:val="subscript"/>
        </w:rPr>
        <w:t>2</w:t>
      </w:r>
      <w:r w:rsidR="005F3A86">
        <w:rPr>
          <w:sz w:val="22"/>
          <w:szCs w:val="22"/>
        </w:rPr>
        <w:t>O</w:t>
      </w:r>
      <w:r w:rsidR="005F3A86">
        <w:rPr>
          <w:sz w:val="22"/>
          <w:szCs w:val="22"/>
          <w:vertAlign w:val="subscript"/>
        </w:rPr>
        <w:t>11</w:t>
      </w:r>
      <w:r w:rsidR="005F3A86">
        <w:rPr>
          <w:sz w:val="22"/>
          <w:szCs w:val="22"/>
        </w:rPr>
        <w:t>)</w:t>
      </w:r>
      <w:r w:rsidR="00F76E60">
        <w:rPr>
          <w:sz w:val="22"/>
          <w:szCs w:val="22"/>
        </w:rPr>
        <w:t>, extracted from the sugarcane (or sorghum),</w:t>
      </w:r>
      <w:r w:rsidR="005F3A86">
        <w:rPr>
          <w:sz w:val="22"/>
          <w:szCs w:val="22"/>
        </w:rPr>
        <w:t xml:space="preserve"> is converted in microorganisms such as yeast</w:t>
      </w:r>
      <w:r w:rsidR="00F76E60">
        <w:rPr>
          <w:sz w:val="22"/>
          <w:szCs w:val="22"/>
        </w:rPr>
        <w:t xml:space="preserve"> to two molecules of glucose</w:t>
      </w:r>
      <w:r w:rsidR="005F3A86">
        <w:rPr>
          <w:sz w:val="22"/>
          <w:szCs w:val="22"/>
        </w:rPr>
        <w:t xml:space="preserve"> (C</w:t>
      </w:r>
      <w:r w:rsidR="005F3A86" w:rsidRPr="005F3A86">
        <w:rPr>
          <w:sz w:val="22"/>
          <w:szCs w:val="22"/>
          <w:vertAlign w:val="subscript"/>
        </w:rPr>
        <w:t>6</w:t>
      </w:r>
      <w:r w:rsidR="005F3A86">
        <w:rPr>
          <w:sz w:val="22"/>
          <w:szCs w:val="22"/>
        </w:rPr>
        <w:t>H</w:t>
      </w:r>
      <w:r w:rsidR="005F3A86" w:rsidRPr="005F3A86">
        <w:rPr>
          <w:sz w:val="22"/>
          <w:szCs w:val="22"/>
          <w:vertAlign w:val="subscript"/>
        </w:rPr>
        <w:t>12</w:t>
      </w:r>
      <w:r w:rsidR="005F3A86">
        <w:rPr>
          <w:sz w:val="22"/>
          <w:szCs w:val="22"/>
        </w:rPr>
        <w:t>O</w:t>
      </w:r>
      <w:r w:rsidR="005F3A86" w:rsidRPr="005F3A86">
        <w:rPr>
          <w:sz w:val="22"/>
          <w:szCs w:val="22"/>
          <w:vertAlign w:val="subscript"/>
        </w:rPr>
        <w:t>6</w:t>
      </w:r>
      <w:r w:rsidR="005F3A86">
        <w:rPr>
          <w:sz w:val="22"/>
          <w:szCs w:val="22"/>
        </w:rPr>
        <w:t>)</w:t>
      </w:r>
      <w:r w:rsidR="00F76E60">
        <w:rPr>
          <w:sz w:val="22"/>
          <w:szCs w:val="22"/>
        </w:rPr>
        <w:t>.  The microorganisms then convert the glucose to ethanol and carbon dioxide:</w:t>
      </w:r>
    </w:p>
    <w:p w:rsidR="00F76E60" w:rsidRPr="00BF77BC" w:rsidRDefault="00396E65" w:rsidP="00AF6F91">
      <w:pPr>
        <w:widowControl w:val="0"/>
        <w:tabs>
          <w:tab w:val="left" w:pos="8910"/>
        </w:tabs>
        <w:spacing w:after="120"/>
        <w:ind w:left="18"/>
        <w:rPr>
          <w:sz w:val="22"/>
          <w:szCs w:val="22"/>
        </w:rPr>
      </w:pP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6</m:t>
            </m:r>
          </m:sub>
        </m:sSub>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12</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6</m:t>
            </m:r>
          </m:sub>
        </m:sSub>
        <m:box>
          <m:boxPr>
            <m:opEmu m:val="1"/>
            <m:ctrlPr>
              <w:rPr>
                <w:rFonts w:ascii="Cambria Math" w:hAnsi="Cambria Math"/>
                <w:i/>
                <w:sz w:val="22"/>
                <w:szCs w:val="22"/>
              </w:rPr>
            </m:ctrlPr>
          </m:boxPr>
          <m:e>
            <m:r>
              <w:rPr>
                <w:rFonts w:ascii="Cambria Math" w:hAnsi="Cambria Math"/>
                <w:sz w:val="22"/>
                <w:szCs w:val="22"/>
              </w:rPr>
              <m:t>→</m:t>
            </m:r>
          </m:e>
        </m:box>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 xml:space="preserve"> C</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5</m:t>
            </m:r>
          </m:sub>
        </m:sSub>
        <m:r>
          <w:rPr>
            <w:rFonts w:ascii="Cambria Math" w:hAnsi="Cambria Math"/>
            <w:sz w:val="22"/>
            <w:szCs w:val="22"/>
          </w:rPr>
          <m:t>OH+2 C</m:t>
        </m:r>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oMath>
      <w:r w:rsidR="00BF77BC">
        <w:rPr>
          <w:sz w:val="22"/>
          <w:szCs w:val="22"/>
        </w:rPr>
        <w:tab/>
        <w:t>Eq. 14</w:t>
      </w:r>
    </w:p>
    <w:p w:rsidR="005B724D" w:rsidRDefault="00BF77BC" w:rsidP="00FD32D5">
      <w:pPr>
        <w:widowControl w:val="0"/>
        <w:spacing w:after="120"/>
        <w:ind w:left="18"/>
        <w:rPr>
          <w:sz w:val="22"/>
          <w:szCs w:val="22"/>
        </w:rPr>
      </w:pPr>
      <w:r>
        <w:rPr>
          <w:sz w:val="22"/>
          <w:szCs w:val="22"/>
        </w:rPr>
        <w:t>(</w:t>
      </w:r>
      <w:r w:rsidR="005B724D">
        <w:rPr>
          <w:sz w:val="22"/>
          <w:szCs w:val="22"/>
        </w:rPr>
        <w:t xml:space="preserve">Other sugars may also ferment similarly, though they would not necessarily produce </w:t>
      </w:r>
      <w:r>
        <w:rPr>
          <w:sz w:val="22"/>
          <w:szCs w:val="22"/>
        </w:rPr>
        <w:t>ethanol and carbon dioxide in equimolar amounts, as in Eq. 14.)</w:t>
      </w:r>
    </w:p>
    <w:p w:rsidR="00930774" w:rsidRDefault="00930774" w:rsidP="00FD32D5">
      <w:pPr>
        <w:widowControl w:val="0"/>
        <w:spacing w:after="120"/>
        <w:ind w:left="18"/>
        <w:rPr>
          <w:sz w:val="22"/>
          <w:szCs w:val="22"/>
        </w:rPr>
      </w:pPr>
      <w:r>
        <w:rPr>
          <w:sz w:val="22"/>
          <w:szCs w:val="22"/>
        </w:rPr>
        <w:t>This CO</w:t>
      </w:r>
      <w:r w:rsidRPr="00930774">
        <w:rPr>
          <w:sz w:val="22"/>
          <w:szCs w:val="22"/>
          <w:vertAlign w:val="subscript"/>
        </w:rPr>
        <w:t>2</w:t>
      </w:r>
      <w:r>
        <w:rPr>
          <w:sz w:val="22"/>
          <w:szCs w:val="22"/>
        </w:rPr>
        <w:t xml:space="preserve"> i</w:t>
      </w:r>
      <w:r w:rsidR="00E06F03">
        <w:rPr>
          <w:sz w:val="22"/>
          <w:szCs w:val="22"/>
        </w:rPr>
        <w:t>s completely biogenic in nature – all the carbon released as CO</w:t>
      </w:r>
      <w:r w:rsidR="00E06F03" w:rsidRPr="00E06F03">
        <w:rPr>
          <w:sz w:val="22"/>
          <w:szCs w:val="22"/>
          <w:vertAlign w:val="subscript"/>
        </w:rPr>
        <w:t>2</w:t>
      </w:r>
      <w:r w:rsidR="00E06F03">
        <w:rPr>
          <w:sz w:val="22"/>
          <w:szCs w:val="22"/>
        </w:rPr>
        <w:t xml:space="preserve"> comes from the sugars in the sugarcane or sorghum</w:t>
      </w:r>
      <w:r w:rsidR="00826A20">
        <w:rPr>
          <w:sz w:val="22"/>
          <w:szCs w:val="22"/>
        </w:rPr>
        <w:t xml:space="preserve">, which had </w:t>
      </w:r>
      <w:r w:rsidR="00DC1CEA">
        <w:rPr>
          <w:sz w:val="22"/>
          <w:szCs w:val="22"/>
        </w:rPr>
        <w:t>previously been atmospheric CO</w:t>
      </w:r>
      <w:r w:rsidR="00DC1CEA" w:rsidRPr="00DC1CEA">
        <w:rPr>
          <w:sz w:val="22"/>
          <w:szCs w:val="22"/>
          <w:vertAlign w:val="subscript"/>
        </w:rPr>
        <w:t>2</w:t>
      </w:r>
      <w:r w:rsidR="00E06F03">
        <w:rPr>
          <w:sz w:val="22"/>
          <w:szCs w:val="22"/>
        </w:rPr>
        <w:t>.</w:t>
      </w:r>
      <w:r w:rsidR="00472D32">
        <w:rPr>
          <w:sz w:val="22"/>
          <w:szCs w:val="22"/>
        </w:rPr>
        <w:t xml:space="preserve">  See Section </w:t>
      </w:r>
      <w:r w:rsidR="00C121D0">
        <w:rPr>
          <w:sz w:val="22"/>
          <w:szCs w:val="22"/>
        </w:rPr>
        <w:fldChar w:fldCharType="begin"/>
      </w:r>
      <w:r w:rsidR="00C121D0">
        <w:rPr>
          <w:sz w:val="22"/>
          <w:szCs w:val="22"/>
        </w:rPr>
        <w:instrText xml:space="preserve"> REF _Ref482887027 \r \h </w:instrText>
      </w:r>
      <w:r w:rsidR="00C121D0">
        <w:rPr>
          <w:sz w:val="22"/>
          <w:szCs w:val="22"/>
        </w:rPr>
      </w:r>
      <w:r w:rsidR="00C121D0">
        <w:rPr>
          <w:sz w:val="22"/>
          <w:szCs w:val="22"/>
        </w:rPr>
        <w:fldChar w:fldCharType="separate"/>
      </w:r>
      <w:r w:rsidR="005A4C55">
        <w:rPr>
          <w:sz w:val="22"/>
          <w:szCs w:val="22"/>
        </w:rPr>
        <w:t>7.5</w:t>
      </w:r>
      <w:r w:rsidR="00C121D0">
        <w:rPr>
          <w:sz w:val="22"/>
          <w:szCs w:val="22"/>
        </w:rPr>
        <w:fldChar w:fldCharType="end"/>
      </w:r>
      <w:r w:rsidR="00C121D0">
        <w:rPr>
          <w:sz w:val="22"/>
          <w:szCs w:val="22"/>
        </w:rPr>
        <w:t xml:space="preserve">, </w:t>
      </w:r>
      <w:r w:rsidR="00472D32">
        <w:rPr>
          <w:sz w:val="22"/>
          <w:szCs w:val="22"/>
        </w:rPr>
        <w:t>above</w:t>
      </w:r>
      <w:r w:rsidR="00C121D0">
        <w:rPr>
          <w:sz w:val="22"/>
          <w:szCs w:val="22"/>
        </w:rPr>
        <w:t>,</w:t>
      </w:r>
      <w:r w:rsidR="00472D32">
        <w:rPr>
          <w:sz w:val="22"/>
          <w:szCs w:val="22"/>
        </w:rPr>
        <w:t xml:space="preserve"> for a full</w:t>
      </w:r>
      <w:r w:rsidR="00C121D0">
        <w:rPr>
          <w:sz w:val="22"/>
          <w:szCs w:val="22"/>
        </w:rPr>
        <w:t xml:space="preserve"> discussion on greenhouse gases.  Carbon capture and storage, as described in Section </w:t>
      </w:r>
      <w:r w:rsidR="00C121D0">
        <w:rPr>
          <w:sz w:val="22"/>
          <w:szCs w:val="22"/>
        </w:rPr>
        <w:fldChar w:fldCharType="begin"/>
      </w:r>
      <w:r w:rsidR="00C121D0">
        <w:rPr>
          <w:sz w:val="22"/>
          <w:szCs w:val="22"/>
        </w:rPr>
        <w:instrText xml:space="preserve"> REF _Ref482886884 \r \h </w:instrText>
      </w:r>
      <w:r w:rsidR="00C121D0">
        <w:rPr>
          <w:sz w:val="22"/>
          <w:szCs w:val="22"/>
        </w:rPr>
      </w:r>
      <w:r w:rsidR="00C121D0">
        <w:rPr>
          <w:sz w:val="22"/>
          <w:szCs w:val="22"/>
        </w:rPr>
        <w:fldChar w:fldCharType="separate"/>
      </w:r>
      <w:r w:rsidR="005A4C55">
        <w:rPr>
          <w:sz w:val="22"/>
          <w:szCs w:val="22"/>
        </w:rPr>
        <w:t>7.5.2</w:t>
      </w:r>
      <w:r w:rsidR="00C121D0">
        <w:rPr>
          <w:sz w:val="22"/>
          <w:szCs w:val="22"/>
        </w:rPr>
        <w:fldChar w:fldCharType="end"/>
      </w:r>
      <w:r w:rsidR="00C121D0">
        <w:rPr>
          <w:sz w:val="22"/>
          <w:szCs w:val="22"/>
        </w:rPr>
        <w:t>, could potentially be employed for the exhaust gases from the fermentation stack.  However, the same barriers that make it uneconomical for the boiler also prevent it from being cost effective for the fermentation process.</w:t>
      </w:r>
    </w:p>
    <w:p w:rsidR="00C121D0" w:rsidRPr="00155062" w:rsidRDefault="00885507" w:rsidP="00C121D0">
      <w:pPr>
        <w:pStyle w:val="ListParagraph"/>
        <w:widowControl w:val="0"/>
        <w:numPr>
          <w:ilvl w:val="2"/>
          <w:numId w:val="15"/>
        </w:numPr>
        <w:spacing w:after="120"/>
        <w:ind w:left="720" w:hanging="720"/>
        <w:contextualSpacing w:val="0"/>
        <w:rPr>
          <w:sz w:val="22"/>
          <w:szCs w:val="22"/>
          <w:u w:val="single"/>
        </w:rPr>
      </w:pPr>
      <w:r w:rsidRPr="00155062">
        <w:rPr>
          <w:sz w:val="22"/>
          <w:szCs w:val="22"/>
          <w:u w:val="single"/>
        </w:rPr>
        <w:lastRenderedPageBreak/>
        <w:t>Applicant’s Proposal</w:t>
      </w:r>
    </w:p>
    <w:p w:rsidR="00885507" w:rsidRPr="00885507" w:rsidRDefault="00885507" w:rsidP="00885507">
      <w:pPr>
        <w:widowControl w:val="0"/>
        <w:spacing w:after="120"/>
        <w:rPr>
          <w:sz w:val="22"/>
          <w:szCs w:val="22"/>
        </w:rPr>
      </w:pPr>
      <w:r>
        <w:rPr>
          <w:sz w:val="22"/>
          <w:szCs w:val="22"/>
        </w:rPr>
        <w:t>The applicant calculates that annual emissions of CO</w:t>
      </w:r>
      <w:r w:rsidRPr="00885507">
        <w:rPr>
          <w:sz w:val="22"/>
          <w:szCs w:val="22"/>
          <w:vertAlign w:val="subscript"/>
        </w:rPr>
        <w:t>2</w:t>
      </w:r>
      <w:r>
        <w:rPr>
          <w:sz w:val="22"/>
          <w:szCs w:val="22"/>
        </w:rPr>
        <w:t xml:space="preserve"> from the fermentation process will be 122,096 tons, while annual ethanol production will be 30 million gallons.  This yields a production-based emissions rate of 8.14 lb CO</w:t>
      </w:r>
      <w:r w:rsidRPr="00885507">
        <w:rPr>
          <w:sz w:val="22"/>
          <w:szCs w:val="22"/>
          <w:vertAlign w:val="subscript"/>
        </w:rPr>
        <w:t>2</w:t>
      </w:r>
      <w:r>
        <w:rPr>
          <w:sz w:val="22"/>
          <w:szCs w:val="22"/>
        </w:rPr>
        <w:t xml:space="preserve"> per gallon of ethanol produced.  The applicant also notes that this is an uncertain number, impacted by biological processes which can be difficult to control.  The applicant has requested a limit of 8.14 lb CO</w:t>
      </w:r>
      <w:r w:rsidRPr="00885507">
        <w:rPr>
          <w:sz w:val="22"/>
          <w:szCs w:val="22"/>
          <w:vertAlign w:val="subscript"/>
        </w:rPr>
        <w:t>2</w:t>
      </w:r>
      <w:r>
        <w:rPr>
          <w:sz w:val="22"/>
          <w:szCs w:val="22"/>
        </w:rPr>
        <w:t xml:space="preserve"> per gallon of ethanol produced, to be tested only by an initial test.  The emissions factor determined in this initial test would then be used to estimate future CO</w:t>
      </w:r>
      <w:r w:rsidRPr="00885507">
        <w:rPr>
          <w:sz w:val="22"/>
          <w:szCs w:val="22"/>
          <w:vertAlign w:val="subscript"/>
        </w:rPr>
        <w:t>2</w:t>
      </w:r>
      <w:r>
        <w:rPr>
          <w:sz w:val="22"/>
          <w:szCs w:val="22"/>
        </w:rPr>
        <w:t xml:space="preserve"> emissions, based on the amount of ethanol produced.  Because of the lack of available data from similar facilities, and because of the difficulties with biological processes, the facility has also requested that this limit be adjusted after initial startup if it proves unattainable.</w:t>
      </w:r>
    </w:p>
    <w:p w:rsidR="00885507" w:rsidRPr="00155062" w:rsidRDefault="00885507" w:rsidP="00885507">
      <w:pPr>
        <w:pStyle w:val="ListParagraph"/>
        <w:widowControl w:val="0"/>
        <w:numPr>
          <w:ilvl w:val="2"/>
          <w:numId w:val="15"/>
        </w:numPr>
        <w:spacing w:after="120"/>
        <w:ind w:left="720" w:hanging="720"/>
        <w:contextualSpacing w:val="0"/>
        <w:rPr>
          <w:sz w:val="22"/>
          <w:szCs w:val="22"/>
          <w:u w:val="single"/>
        </w:rPr>
      </w:pPr>
      <w:r w:rsidRPr="00155062">
        <w:rPr>
          <w:sz w:val="22"/>
          <w:szCs w:val="22"/>
          <w:u w:val="single"/>
        </w:rPr>
        <w:t>Department’s Determination</w:t>
      </w:r>
    </w:p>
    <w:p w:rsidR="00BF77BC" w:rsidRDefault="00BF77BC" w:rsidP="00FD32D5">
      <w:pPr>
        <w:widowControl w:val="0"/>
        <w:spacing w:after="120"/>
        <w:ind w:left="18"/>
        <w:rPr>
          <w:sz w:val="22"/>
          <w:szCs w:val="22"/>
        </w:rPr>
      </w:pPr>
      <w:r>
        <w:rPr>
          <w:sz w:val="22"/>
          <w:szCs w:val="22"/>
        </w:rPr>
        <w:t>If the fermentation reaction follows Eq. 14 exactly, and if ethanol is recovered perfectly, one mole of CO</w:t>
      </w:r>
      <w:r w:rsidRPr="001E5937">
        <w:rPr>
          <w:sz w:val="22"/>
          <w:szCs w:val="22"/>
          <w:vertAlign w:val="subscript"/>
        </w:rPr>
        <w:t>2</w:t>
      </w:r>
      <w:r>
        <w:rPr>
          <w:sz w:val="22"/>
          <w:szCs w:val="22"/>
        </w:rPr>
        <w:t xml:space="preserve"> is produced for each mole of ethanol produced.  Assuming a density of 6.59 lb/gal for the final ethanol product,</w:t>
      </w:r>
      <w:r w:rsidR="001E5937">
        <w:rPr>
          <w:sz w:val="22"/>
          <w:szCs w:val="22"/>
        </w:rPr>
        <w:t xml:space="preserve"> and a molar mass of 46.1 lb per lb-mole,</w:t>
      </w:r>
      <w:r>
        <w:rPr>
          <w:sz w:val="22"/>
          <w:szCs w:val="22"/>
        </w:rPr>
        <w:t xml:space="preserve"> one gallon of ethanol equals 0.143 </w:t>
      </w:r>
      <w:r w:rsidR="001E5937">
        <w:rPr>
          <w:sz w:val="22"/>
          <w:szCs w:val="22"/>
        </w:rPr>
        <w:t>lb</w:t>
      </w:r>
      <w:r>
        <w:rPr>
          <w:sz w:val="22"/>
          <w:szCs w:val="22"/>
        </w:rPr>
        <w:t>-moles of ethanol.  This means that</w:t>
      </w:r>
      <w:r w:rsidR="001E5937">
        <w:rPr>
          <w:sz w:val="22"/>
          <w:szCs w:val="22"/>
        </w:rPr>
        <w:t xml:space="preserve"> </w:t>
      </w:r>
      <w:r>
        <w:rPr>
          <w:sz w:val="22"/>
          <w:szCs w:val="22"/>
        </w:rPr>
        <w:t>6.29 pounds of CO</w:t>
      </w:r>
      <w:r w:rsidRPr="001E5937">
        <w:rPr>
          <w:sz w:val="22"/>
          <w:szCs w:val="22"/>
          <w:vertAlign w:val="subscript"/>
        </w:rPr>
        <w:t>2</w:t>
      </w:r>
      <w:r w:rsidR="001E5937">
        <w:rPr>
          <w:sz w:val="22"/>
          <w:szCs w:val="22"/>
        </w:rPr>
        <w:t xml:space="preserve"> </w:t>
      </w:r>
      <w:r w:rsidR="00AD362C">
        <w:rPr>
          <w:sz w:val="22"/>
          <w:szCs w:val="22"/>
        </w:rPr>
        <w:t>(</w:t>
      </w:r>
      <w:r w:rsidR="001E5937">
        <w:rPr>
          <w:sz w:val="22"/>
          <w:szCs w:val="22"/>
        </w:rPr>
        <w:t>0.143 lb-moles of CO</w:t>
      </w:r>
      <w:r w:rsidR="001E5937" w:rsidRPr="00BF77BC">
        <w:rPr>
          <w:sz w:val="22"/>
          <w:szCs w:val="22"/>
          <w:vertAlign w:val="subscript"/>
        </w:rPr>
        <w:t>2</w:t>
      </w:r>
      <w:r w:rsidR="00AD362C">
        <w:rPr>
          <w:sz w:val="22"/>
          <w:szCs w:val="22"/>
        </w:rPr>
        <w:t>)</w:t>
      </w:r>
      <w:r>
        <w:rPr>
          <w:sz w:val="22"/>
          <w:szCs w:val="22"/>
        </w:rPr>
        <w:t xml:space="preserve"> are generated per gallon of ethanol.  </w:t>
      </w:r>
      <w:r w:rsidR="001E5937">
        <w:rPr>
          <w:sz w:val="22"/>
          <w:szCs w:val="22"/>
        </w:rPr>
        <w:t>If Eq. 14 is the assumed ethanol production pathway, then 6.29 lb CO</w:t>
      </w:r>
      <w:r w:rsidR="001E5937" w:rsidRPr="001E5937">
        <w:rPr>
          <w:sz w:val="22"/>
          <w:szCs w:val="22"/>
          <w:vertAlign w:val="subscript"/>
        </w:rPr>
        <w:t>2</w:t>
      </w:r>
      <w:r w:rsidR="001E5937">
        <w:rPr>
          <w:sz w:val="22"/>
          <w:szCs w:val="22"/>
        </w:rPr>
        <w:t xml:space="preserve"> per gallon of ethanol would represent the lowest possible emissions of CO</w:t>
      </w:r>
      <w:r w:rsidR="001E5937" w:rsidRPr="001E5937">
        <w:rPr>
          <w:sz w:val="22"/>
          <w:szCs w:val="22"/>
          <w:vertAlign w:val="subscript"/>
        </w:rPr>
        <w:t>2</w:t>
      </w:r>
      <w:r w:rsidR="001E5937">
        <w:rPr>
          <w:sz w:val="22"/>
          <w:szCs w:val="22"/>
        </w:rPr>
        <w:t xml:space="preserve"> per unit of ethanol produced.</w:t>
      </w:r>
      <w:r w:rsidR="0002154E">
        <w:rPr>
          <w:sz w:val="22"/>
          <w:szCs w:val="22"/>
        </w:rPr>
        <w:t xml:space="preserve">  Considering the inevitable production of some unwanted fermentation products such as </w:t>
      </w:r>
      <w:proofErr w:type="spellStart"/>
      <w:r w:rsidR="0002154E">
        <w:rPr>
          <w:sz w:val="22"/>
          <w:szCs w:val="22"/>
        </w:rPr>
        <w:t>fusel</w:t>
      </w:r>
      <w:proofErr w:type="spellEnd"/>
      <w:r w:rsidR="0002154E">
        <w:rPr>
          <w:sz w:val="22"/>
          <w:szCs w:val="22"/>
        </w:rPr>
        <w:t xml:space="preserve"> oils</w:t>
      </w:r>
      <w:r w:rsidR="00F85E21">
        <w:rPr>
          <w:sz w:val="22"/>
          <w:szCs w:val="22"/>
        </w:rPr>
        <w:t xml:space="preserve"> and the inconsistencies assoc</w:t>
      </w:r>
      <w:r w:rsidR="00EF72AE">
        <w:rPr>
          <w:sz w:val="22"/>
          <w:szCs w:val="22"/>
        </w:rPr>
        <w:t>iated with biological processes</w:t>
      </w:r>
      <w:r w:rsidR="0002154E">
        <w:rPr>
          <w:sz w:val="22"/>
          <w:szCs w:val="22"/>
        </w:rPr>
        <w:t xml:space="preserve">, establishing a limit </w:t>
      </w:r>
      <w:r w:rsidR="00EF72AE">
        <w:rPr>
          <w:sz w:val="22"/>
          <w:szCs w:val="22"/>
        </w:rPr>
        <w:t xml:space="preserve">somewhat </w:t>
      </w:r>
      <w:r w:rsidR="0002154E">
        <w:rPr>
          <w:sz w:val="22"/>
          <w:szCs w:val="22"/>
        </w:rPr>
        <w:t>greater than 6.29 lb CO</w:t>
      </w:r>
      <w:r w:rsidR="0002154E" w:rsidRPr="0002154E">
        <w:rPr>
          <w:sz w:val="22"/>
          <w:szCs w:val="22"/>
          <w:vertAlign w:val="subscript"/>
        </w:rPr>
        <w:t>2</w:t>
      </w:r>
      <w:r w:rsidR="0002154E">
        <w:rPr>
          <w:sz w:val="22"/>
          <w:szCs w:val="22"/>
        </w:rPr>
        <w:t xml:space="preserve"> per gallon of ethanol is entirely reasonable.</w:t>
      </w:r>
      <w:r w:rsidR="00F85E21">
        <w:rPr>
          <w:sz w:val="22"/>
          <w:szCs w:val="22"/>
        </w:rPr>
        <w:t xml:space="preserve">  The applicant’s requested limit is 29% greater than this theoretical limit.</w:t>
      </w:r>
    </w:p>
    <w:p w:rsidR="00C121D0" w:rsidRDefault="00822A68" w:rsidP="00FD32D5">
      <w:pPr>
        <w:widowControl w:val="0"/>
        <w:spacing w:after="120"/>
        <w:ind w:left="18"/>
        <w:rPr>
          <w:sz w:val="22"/>
          <w:szCs w:val="22"/>
        </w:rPr>
      </w:pPr>
      <w:r>
        <w:rPr>
          <w:sz w:val="22"/>
          <w:szCs w:val="22"/>
        </w:rPr>
        <w:t xml:space="preserve">The Department notes that the </w:t>
      </w:r>
      <w:proofErr w:type="spellStart"/>
      <w:r>
        <w:rPr>
          <w:sz w:val="22"/>
          <w:szCs w:val="22"/>
        </w:rPr>
        <w:t>Abengoa</w:t>
      </w:r>
      <w:proofErr w:type="spellEnd"/>
      <w:r>
        <w:rPr>
          <w:sz w:val="22"/>
          <w:szCs w:val="22"/>
        </w:rPr>
        <w:t xml:space="preserve"> project in Kansas received a BACT limit for the fermentation process of 5.89 lb CO</w:t>
      </w:r>
      <w:r w:rsidRPr="005B724D">
        <w:rPr>
          <w:sz w:val="22"/>
          <w:szCs w:val="22"/>
          <w:vertAlign w:val="subscript"/>
        </w:rPr>
        <w:t>2</w:t>
      </w:r>
      <w:r>
        <w:rPr>
          <w:sz w:val="22"/>
          <w:szCs w:val="22"/>
        </w:rPr>
        <w:t xml:space="preserve">e per gallon of anhydrous ethanol produced.  However, the </w:t>
      </w:r>
      <w:proofErr w:type="spellStart"/>
      <w:r>
        <w:rPr>
          <w:sz w:val="22"/>
          <w:szCs w:val="22"/>
        </w:rPr>
        <w:t>Abengoa</w:t>
      </w:r>
      <w:proofErr w:type="spellEnd"/>
      <w:r>
        <w:rPr>
          <w:sz w:val="22"/>
          <w:szCs w:val="22"/>
        </w:rPr>
        <w:t xml:space="preserve"> project included a different slate of feed stock (corn stover, wheat straw, switchgrass, etc.), and presumably, different fermentation technology</w:t>
      </w:r>
      <w:r w:rsidR="001E5937">
        <w:rPr>
          <w:sz w:val="22"/>
          <w:szCs w:val="22"/>
        </w:rPr>
        <w:t xml:space="preserve"> and chemistry</w:t>
      </w:r>
      <w:r>
        <w:rPr>
          <w:sz w:val="22"/>
          <w:szCs w:val="22"/>
        </w:rPr>
        <w:t xml:space="preserve"> as a result.  For the </w:t>
      </w:r>
      <w:proofErr w:type="spellStart"/>
      <w:r>
        <w:rPr>
          <w:sz w:val="22"/>
          <w:szCs w:val="22"/>
        </w:rPr>
        <w:t>Abengoa</w:t>
      </w:r>
      <w:proofErr w:type="spellEnd"/>
      <w:r>
        <w:rPr>
          <w:sz w:val="22"/>
          <w:szCs w:val="22"/>
        </w:rPr>
        <w:t xml:space="preserve"> project, the facility proposed as the </w:t>
      </w:r>
      <w:r w:rsidR="0031421F">
        <w:rPr>
          <w:sz w:val="22"/>
          <w:szCs w:val="22"/>
        </w:rPr>
        <w:t xml:space="preserve">main </w:t>
      </w:r>
      <w:r>
        <w:rPr>
          <w:sz w:val="22"/>
          <w:szCs w:val="22"/>
        </w:rPr>
        <w:t>method of compliance with this lim</w:t>
      </w:r>
      <w:r w:rsidR="0031421F">
        <w:rPr>
          <w:sz w:val="22"/>
          <w:szCs w:val="22"/>
        </w:rPr>
        <w:t>i</w:t>
      </w:r>
      <w:r>
        <w:rPr>
          <w:sz w:val="22"/>
          <w:szCs w:val="22"/>
        </w:rPr>
        <w:t xml:space="preserve">t (and the State of Kansas accepted) </w:t>
      </w:r>
      <w:r w:rsidR="0031421F">
        <w:rPr>
          <w:sz w:val="22"/>
          <w:szCs w:val="22"/>
        </w:rPr>
        <w:t>the monitoring of process efficiency, as indicated by a CO</w:t>
      </w:r>
      <w:r w:rsidR="0031421F" w:rsidRPr="00986B8C">
        <w:rPr>
          <w:sz w:val="22"/>
          <w:szCs w:val="22"/>
          <w:vertAlign w:val="subscript"/>
        </w:rPr>
        <w:t>2</w:t>
      </w:r>
      <w:r w:rsidR="0031421F">
        <w:rPr>
          <w:sz w:val="22"/>
          <w:szCs w:val="22"/>
        </w:rPr>
        <w:t xml:space="preserve"> CEMS, as well as the use of LDAR to minimize evaporative product losses.</w:t>
      </w:r>
      <w:r w:rsidR="00986B8C">
        <w:rPr>
          <w:sz w:val="22"/>
          <w:szCs w:val="22"/>
        </w:rPr>
        <w:t xml:space="preserve">  Considering the potential for a highly variable emissions profile due to biological processes, a CO</w:t>
      </w:r>
      <w:r w:rsidR="00986B8C" w:rsidRPr="00986B8C">
        <w:rPr>
          <w:sz w:val="22"/>
          <w:szCs w:val="22"/>
          <w:vertAlign w:val="subscript"/>
        </w:rPr>
        <w:t>2</w:t>
      </w:r>
      <w:r w:rsidR="00986B8C">
        <w:rPr>
          <w:sz w:val="22"/>
          <w:szCs w:val="22"/>
        </w:rPr>
        <w:t xml:space="preserve"> CEMS is necessary to accurately measure CO</w:t>
      </w:r>
      <w:r w:rsidR="00986B8C" w:rsidRPr="00986B8C">
        <w:rPr>
          <w:sz w:val="22"/>
          <w:szCs w:val="22"/>
          <w:vertAlign w:val="subscript"/>
        </w:rPr>
        <w:t>2</w:t>
      </w:r>
      <w:r w:rsidR="00986B8C">
        <w:rPr>
          <w:sz w:val="22"/>
          <w:szCs w:val="22"/>
        </w:rPr>
        <w:t xml:space="preserve"> emissions over a long time period.</w:t>
      </w:r>
    </w:p>
    <w:p w:rsidR="00F85E21" w:rsidRDefault="00F85E21" w:rsidP="00FD32D5">
      <w:pPr>
        <w:widowControl w:val="0"/>
        <w:spacing w:after="120"/>
        <w:ind w:left="18"/>
        <w:rPr>
          <w:sz w:val="22"/>
          <w:szCs w:val="22"/>
        </w:rPr>
      </w:pPr>
      <w:r>
        <w:rPr>
          <w:sz w:val="22"/>
          <w:szCs w:val="22"/>
        </w:rPr>
        <w:t>For this process, BACT is essentially an efficient process that minimizes the amount CO</w:t>
      </w:r>
      <w:r w:rsidRPr="00EF72AE">
        <w:rPr>
          <w:sz w:val="22"/>
          <w:szCs w:val="22"/>
          <w:vertAlign w:val="subscript"/>
        </w:rPr>
        <w:t>2</w:t>
      </w:r>
      <w:r>
        <w:rPr>
          <w:sz w:val="22"/>
          <w:szCs w:val="22"/>
        </w:rPr>
        <w:t xml:space="preserve"> emitted per unit of ethanol produced.  The applicant’s requested emission limit of 8.14 lb CO</w:t>
      </w:r>
      <w:r w:rsidRPr="00EF72AE">
        <w:rPr>
          <w:sz w:val="22"/>
          <w:szCs w:val="22"/>
          <w:vertAlign w:val="subscript"/>
        </w:rPr>
        <w:t>2</w:t>
      </w:r>
      <w:r>
        <w:rPr>
          <w:sz w:val="22"/>
          <w:szCs w:val="22"/>
        </w:rPr>
        <w:t xml:space="preserve"> per gallon of ethanol produced is reasonable, </w:t>
      </w:r>
      <w:r w:rsidR="00EF72AE">
        <w:rPr>
          <w:sz w:val="22"/>
          <w:szCs w:val="22"/>
        </w:rPr>
        <w:t>and the Department will set this as the limit for this process.  In order to assure continuous monitoring of the efficiency of the process, and to account for the variability in emissions due to biological processes, compliance will be demonstrated with a CEMS for CO</w:t>
      </w:r>
      <w:r w:rsidR="00EF72AE" w:rsidRPr="00EF72AE">
        <w:rPr>
          <w:sz w:val="22"/>
          <w:szCs w:val="22"/>
          <w:vertAlign w:val="subscript"/>
        </w:rPr>
        <w:t>2</w:t>
      </w:r>
      <w:r w:rsidR="00EF72AE">
        <w:rPr>
          <w:sz w:val="22"/>
          <w:szCs w:val="22"/>
        </w:rPr>
        <w:t>, on a 12-month rolling basis, rolled monthly.  The use of LDAR for the minimization of product losses will also be considered a component of BACT, since optimizing product recovery helps to minimize the emissions per unit of product.</w:t>
      </w:r>
    </w:p>
    <w:p w:rsidR="00DC1CEA" w:rsidRDefault="00DC1CEA" w:rsidP="00FD32D5">
      <w:pPr>
        <w:widowControl w:val="0"/>
        <w:spacing w:after="120"/>
        <w:ind w:left="18"/>
        <w:rPr>
          <w:sz w:val="22"/>
          <w:szCs w:val="22"/>
        </w:rPr>
      </w:pPr>
      <w:r>
        <w:rPr>
          <w:sz w:val="22"/>
          <w:szCs w:val="22"/>
        </w:rPr>
        <w:t>The Department notes that this facility will employ a batch fermentation process.  During a batch process, CO</w:t>
      </w:r>
      <w:r w:rsidRPr="00DC1CEA">
        <w:rPr>
          <w:sz w:val="22"/>
          <w:szCs w:val="22"/>
          <w:vertAlign w:val="subscript"/>
        </w:rPr>
        <w:t>2</w:t>
      </w:r>
      <w:r>
        <w:rPr>
          <w:sz w:val="22"/>
          <w:szCs w:val="22"/>
        </w:rPr>
        <w:t xml:space="preserve"> production ramp</w:t>
      </w:r>
      <w:r w:rsidR="00962520">
        <w:rPr>
          <w:sz w:val="22"/>
          <w:szCs w:val="22"/>
        </w:rPr>
        <w:t>s</w:t>
      </w:r>
      <w:r>
        <w:rPr>
          <w:sz w:val="22"/>
          <w:szCs w:val="22"/>
        </w:rPr>
        <w:t xml:space="preserve"> up at the beginning of a fermentation, then peak</w:t>
      </w:r>
      <w:r w:rsidR="00962520">
        <w:rPr>
          <w:sz w:val="22"/>
          <w:szCs w:val="22"/>
        </w:rPr>
        <w:t>s</w:t>
      </w:r>
      <w:r>
        <w:rPr>
          <w:sz w:val="22"/>
          <w:szCs w:val="22"/>
        </w:rPr>
        <w:t xml:space="preserve"> or plateau</w:t>
      </w:r>
      <w:r w:rsidR="00962520">
        <w:rPr>
          <w:sz w:val="22"/>
          <w:szCs w:val="22"/>
        </w:rPr>
        <w:t>s</w:t>
      </w:r>
      <w:r>
        <w:rPr>
          <w:sz w:val="22"/>
          <w:szCs w:val="22"/>
        </w:rPr>
        <w:t>, then decrease</w:t>
      </w:r>
      <w:r w:rsidR="00962520">
        <w:rPr>
          <w:sz w:val="22"/>
          <w:szCs w:val="22"/>
        </w:rPr>
        <w:t>s</w:t>
      </w:r>
      <w:r>
        <w:rPr>
          <w:sz w:val="22"/>
          <w:szCs w:val="22"/>
        </w:rPr>
        <w:t xml:space="preserve"> as fermentation slows.  A traditional stack test cannot capture this type of temporal pattern, further indicating at a CEMS is a more appropriate option for monitoring.</w:t>
      </w:r>
    </w:p>
    <w:p w:rsidR="00EF72AE" w:rsidRDefault="00EF72AE" w:rsidP="00FD32D5">
      <w:pPr>
        <w:widowControl w:val="0"/>
        <w:spacing w:after="120"/>
        <w:ind w:left="18"/>
        <w:rPr>
          <w:sz w:val="22"/>
          <w:szCs w:val="22"/>
        </w:rPr>
      </w:pPr>
      <w:r>
        <w:rPr>
          <w:sz w:val="22"/>
          <w:szCs w:val="22"/>
        </w:rPr>
        <w:t xml:space="preserve">Initial compliance with this limit will be demonstrated during a special 30-day initial compliance </w:t>
      </w:r>
      <w:r w:rsidR="00DA1D28">
        <w:rPr>
          <w:sz w:val="22"/>
          <w:szCs w:val="22"/>
        </w:rPr>
        <w:t>period.  If the limit cannot be achieved during this initial compliance demonstration, then the Department will re-evaluate the BACT limit based on emissions and production data from the first year of operation of the facility.  In this scenario, the BACT limit would be set equal to the average emissions rate (pounds CO</w:t>
      </w:r>
      <w:r w:rsidR="00DA1D28" w:rsidRPr="00DA1D28">
        <w:rPr>
          <w:sz w:val="22"/>
          <w:szCs w:val="22"/>
          <w:vertAlign w:val="subscript"/>
        </w:rPr>
        <w:t>2</w:t>
      </w:r>
      <w:r w:rsidR="00DA1D28">
        <w:rPr>
          <w:sz w:val="22"/>
          <w:szCs w:val="22"/>
        </w:rPr>
        <w:t xml:space="preserve"> per gallon of ethanol produced) for the first 12 months of operation, plus an additional 10% to account for the inherent variability in biological processes.</w:t>
      </w:r>
    </w:p>
    <w:p w:rsidR="00EB3D60" w:rsidRDefault="00EB3D60" w:rsidP="00AF6F91">
      <w:pPr>
        <w:pStyle w:val="ListParagraph"/>
        <w:widowControl w:val="0"/>
        <w:numPr>
          <w:ilvl w:val="0"/>
          <w:numId w:val="15"/>
        </w:numPr>
        <w:spacing w:after="120"/>
        <w:ind w:left="720" w:hanging="720"/>
        <w:contextualSpacing w:val="0"/>
        <w:rPr>
          <w:b/>
          <w:caps/>
          <w:sz w:val="22"/>
          <w:szCs w:val="22"/>
        </w:rPr>
      </w:pPr>
      <w:r>
        <w:rPr>
          <w:b/>
          <w:caps/>
          <w:sz w:val="22"/>
          <w:szCs w:val="22"/>
        </w:rPr>
        <w:t>BACT Review for STORAGE TANKS (EU 005)</w:t>
      </w:r>
    </w:p>
    <w:p w:rsidR="00A31D67" w:rsidRDefault="00A31D67" w:rsidP="00A31D67">
      <w:pPr>
        <w:pStyle w:val="ListParagraph"/>
        <w:widowControl w:val="0"/>
        <w:numPr>
          <w:ilvl w:val="1"/>
          <w:numId w:val="15"/>
        </w:numPr>
        <w:spacing w:after="120"/>
        <w:ind w:left="450"/>
        <w:contextualSpacing w:val="0"/>
        <w:rPr>
          <w:b/>
          <w:sz w:val="22"/>
          <w:szCs w:val="22"/>
        </w:rPr>
      </w:pPr>
      <w:r>
        <w:rPr>
          <w:b/>
          <w:sz w:val="22"/>
          <w:szCs w:val="22"/>
        </w:rPr>
        <w:t>Discussion</w:t>
      </w:r>
    </w:p>
    <w:p w:rsidR="00A31D67" w:rsidRDefault="00A31D67" w:rsidP="00A31D67">
      <w:pPr>
        <w:widowControl w:val="0"/>
        <w:spacing w:after="120"/>
        <w:ind w:left="18"/>
        <w:rPr>
          <w:sz w:val="22"/>
          <w:szCs w:val="22"/>
        </w:rPr>
      </w:pPr>
      <w:r>
        <w:rPr>
          <w:sz w:val="22"/>
          <w:szCs w:val="22"/>
        </w:rPr>
        <w:t xml:space="preserve">The only pollutant of concern related to the proposed storage tanks is VOC.  There will be five tanks storing </w:t>
      </w:r>
      <w:r>
        <w:rPr>
          <w:sz w:val="22"/>
          <w:szCs w:val="22"/>
        </w:rPr>
        <w:lastRenderedPageBreak/>
        <w:t>volatile organic liquids</w:t>
      </w:r>
      <w:r w:rsidR="00A629BE">
        <w:rPr>
          <w:sz w:val="22"/>
          <w:szCs w:val="22"/>
        </w:rPr>
        <w:t xml:space="preserve"> (VOL)</w:t>
      </w:r>
      <w:r>
        <w:rPr>
          <w:sz w:val="22"/>
          <w:szCs w:val="22"/>
        </w:rPr>
        <w:t>: one small (2,300 gallons)</w:t>
      </w:r>
      <w:r w:rsidR="004F5587">
        <w:rPr>
          <w:sz w:val="22"/>
          <w:szCs w:val="22"/>
        </w:rPr>
        <w:t xml:space="preserve"> tank</w:t>
      </w:r>
      <w:r>
        <w:rPr>
          <w:sz w:val="22"/>
          <w:szCs w:val="22"/>
        </w:rPr>
        <w:t xml:space="preserve"> for corrosion inhibitor, and four larger tanks (between 100,000 and 1,000,000 gallons) for fuel ethanol, 200-proof ethanol, off-specification ethanol, and denaturant/gasoline.  These four tanks will be subject to NSPS Subpart </w:t>
      </w:r>
      <w:proofErr w:type="spellStart"/>
      <w:r>
        <w:rPr>
          <w:sz w:val="22"/>
          <w:szCs w:val="22"/>
        </w:rPr>
        <w:t>Kb</w:t>
      </w:r>
      <w:proofErr w:type="spellEnd"/>
      <w:r>
        <w:rPr>
          <w:sz w:val="22"/>
          <w:szCs w:val="22"/>
        </w:rPr>
        <w:t xml:space="preserve">, and they will be fitted with internal floating roofs, or will have a pressure relief device/vent condenser to control VOC to an equivalent level.  The original BACT determination was the use of internal floating roofs on the Subpart </w:t>
      </w:r>
      <w:proofErr w:type="spellStart"/>
      <w:r>
        <w:rPr>
          <w:sz w:val="22"/>
          <w:szCs w:val="22"/>
        </w:rPr>
        <w:t>Kb</w:t>
      </w:r>
      <w:proofErr w:type="spellEnd"/>
      <w:r>
        <w:rPr>
          <w:sz w:val="22"/>
          <w:szCs w:val="22"/>
        </w:rPr>
        <w:t xml:space="preserve"> tanks.  Tanks containing VOC but not subject to Subpart </w:t>
      </w:r>
      <w:proofErr w:type="spellStart"/>
      <w:r>
        <w:rPr>
          <w:sz w:val="22"/>
          <w:szCs w:val="22"/>
        </w:rPr>
        <w:t>Kb</w:t>
      </w:r>
      <w:proofErr w:type="spellEnd"/>
      <w:r>
        <w:rPr>
          <w:sz w:val="22"/>
          <w:szCs w:val="22"/>
        </w:rPr>
        <w:t xml:space="preserve"> </w:t>
      </w:r>
      <w:r w:rsidR="00EE56DC">
        <w:rPr>
          <w:sz w:val="22"/>
          <w:szCs w:val="22"/>
        </w:rPr>
        <w:t xml:space="preserve">must use </w:t>
      </w:r>
      <w:r w:rsidR="00583363">
        <w:rPr>
          <w:sz w:val="22"/>
          <w:szCs w:val="22"/>
        </w:rPr>
        <w:t>pressure relief valves with vapor condensers.</w:t>
      </w:r>
    </w:p>
    <w:p w:rsidR="00583363" w:rsidRDefault="00583363" w:rsidP="00583363">
      <w:pPr>
        <w:pStyle w:val="ListParagraph"/>
        <w:widowControl w:val="0"/>
        <w:numPr>
          <w:ilvl w:val="1"/>
          <w:numId w:val="15"/>
        </w:numPr>
        <w:spacing w:after="120"/>
        <w:ind w:left="450"/>
        <w:contextualSpacing w:val="0"/>
        <w:rPr>
          <w:b/>
          <w:sz w:val="22"/>
          <w:szCs w:val="22"/>
        </w:rPr>
      </w:pPr>
      <w:r>
        <w:rPr>
          <w:b/>
          <w:sz w:val="22"/>
          <w:szCs w:val="22"/>
        </w:rPr>
        <w:t>Applicant’s Proposal</w:t>
      </w:r>
    </w:p>
    <w:p w:rsidR="00583363" w:rsidRDefault="00583363" w:rsidP="00A31D67">
      <w:pPr>
        <w:widowControl w:val="0"/>
        <w:spacing w:after="120"/>
        <w:ind w:left="18"/>
        <w:rPr>
          <w:sz w:val="22"/>
          <w:szCs w:val="22"/>
        </w:rPr>
      </w:pPr>
      <w:r>
        <w:rPr>
          <w:sz w:val="22"/>
          <w:szCs w:val="22"/>
        </w:rPr>
        <w:t>The applicant has proposed the reaffirmation of the previous BACT determination.</w:t>
      </w:r>
    </w:p>
    <w:p w:rsidR="00583363" w:rsidRDefault="00583363" w:rsidP="00583363">
      <w:pPr>
        <w:pStyle w:val="ListParagraph"/>
        <w:widowControl w:val="0"/>
        <w:numPr>
          <w:ilvl w:val="1"/>
          <w:numId w:val="15"/>
        </w:numPr>
        <w:spacing w:after="120"/>
        <w:ind w:left="450"/>
        <w:contextualSpacing w:val="0"/>
        <w:rPr>
          <w:b/>
          <w:sz w:val="22"/>
          <w:szCs w:val="22"/>
        </w:rPr>
      </w:pPr>
      <w:r>
        <w:rPr>
          <w:b/>
          <w:sz w:val="22"/>
          <w:szCs w:val="22"/>
        </w:rPr>
        <w:t>Department’s Determination</w:t>
      </w:r>
    </w:p>
    <w:p w:rsidR="00A60D83" w:rsidRDefault="00583363" w:rsidP="00A629BE">
      <w:pPr>
        <w:spacing w:after="120"/>
        <w:rPr>
          <w:color w:val="000000"/>
          <w:sz w:val="22"/>
          <w:szCs w:val="22"/>
        </w:rPr>
      </w:pPr>
      <w:r>
        <w:rPr>
          <w:sz w:val="22"/>
          <w:szCs w:val="22"/>
        </w:rPr>
        <w:t>The Department agrees that its original determination still constitutes BACT for the storage tanks.  Pollutant controls from tanks have not changed appreciably since the original BACT determination.</w:t>
      </w:r>
      <w:r w:rsidR="00A629BE">
        <w:rPr>
          <w:sz w:val="22"/>
          <w:szCs w:val="22"/>
        </w:rPr>
        <w:t xml:space="preserve">  </w:t>
      </w:r>
      <w:r w:rsidR="00A629BE" w:rsidRPr="00513A9B">
        <w:rPr>
          <w:color w:val="000000"/>
          <w:sz w:val="22"/>
          <w:szCs w:val="22"/>
        </w:rPr>
        <w:t xml:space="preserve">If </w:t>
      </w:r>
      <w:r w:rsidR="00A629BE">
        <w:rPr>
          <w:color w:val="000000"/>
          <w:sz w:val="22"/>
          <w:szCs w:val="22"/>
        </w:rPr>
        <w:t>the permittee</w:t>
      </w:r>
      <w:r w:rsidR="00A629BE" w:rsidRPr="00513A9B">
        <w:rPr>
          <w:color w:val="000000"/>
          <w:sz w:val="22"/>
          <w:szCs w:val="22"/>
        </w:rPr>
        <w:t xml:space="preserve"> decides to use pressure relief valves in lieu of internal floating roofs, it must provide</w:t>
      </w:r>
      <w:r w:rsidR="00A629BE">
        <w:rPr>
          <w:color w:val="000000"/>
          <w:sz w:val="22"/>
          <w:szCs w:val="22"/>
        </w:rPr>
        <w:t xml:space="preserve"> </w:t>
      </w:r>
      <w:r w:rsidR="00A629BE" w:rsidRPr="00513A9B">
        <w:rPr>
          <w:color w:val="000000"/>
          <w:sz w:val="22"/>
          <w:szCs w:val="22"/>
        </w:rPr>
        <w:t>proof of the valves</w:t>
      </w:r>
      <w:r w:rsidR="00A629BE">
        <w:rPr>
          <w:color w:val="000000"/>
          <w:sz w:val="22"/>
          <w:szCs w:val="22"/>
        </w:rPr>
        <w:t>’</w:t>
      </w:r>
      <w:r w:rsidR="00A629BE" w:rsidRPr="00513A9B">
        <w:rPr>
          <w:color w:val="000000"/>
          <w:sz w:val="22"/>
          <w:szCs w:val="22"/>
        </w:rPr>
        <w:t xml:space="preserve"> equivalency as defined in the NSPS to the Compliance Authority before construction of the </w:t>
      </w:r>
      <w:r w:rsidR="00A629BE">
        <w:rPr>
          <w:color w:val="000000"/>
          <w:sz w:val="22"/>
          <w:szCs w:val="22"/>
        </w:rPr>
        <w:t>b</w:t>
      </w:r>
      <w:r w:rsidR="00A629BE" w:rsidRPr="00513A9B">
        <w:rPr>
          <w:color w:val="000000"/>
          <w:sz w:val="22"/>
          <w:szCs w:val="22"/>
        </w:rPr>
        <w:t xml:space="preserve">lending and </w:t>
      </w:r>
      <w:r w:rsidR="00A629BE">
        <w:rPr>
          <w:color w:val="000000"/>
          <w:sz w:val="22"/>
          <w:szCs w:val="22"/>
        </w:rPr>
        <w:t>storage VOL tanks commences.</w:t>
      </w:r>
    </w:p>
    <w:p w:rsidR="003F765B" w:rsidRDefault="003F765B" w:rsidP="00AF6F91">
      <w:pPr>
        <w:pStyle w:val="ListParagraph"/>
        <w:widowControl w:val="0"/>
        <w:numPr>
          <w:ilvl w:val="0"/>
          <w:numId w:val="15"/>
        </w:numPr>
        <w:spacing w:after="120"/>
        <w:ind w:left="720" w:hanging="720"/>
        <w:contextualSpacing w:val="0"/>
        <w:rPr>
          <w:b/>
          <w:caps/>
          <w:sz w:val="22"/>
          <w:szCs w:val="22"/>
        </w:rPr>
      </w:pPr>
      <w:r>
        <w:rPr>
          <w:b/>
          <w:caps/>
          <w:sz w:val="22"/>
          <w:szCs w:val="22"/>
        </w:rPr>
        <w:t xml:space="preserve">BACT Review for TRUCK </w:t>
      </w:r>
      <w:r w:rsidR="008B19E3">
        <w:rPr>
          <w:b/>
          <w:caps/>
          <w:sz w:val="22"/>
          <w:szCs w:val="22"/>
        </w:rPr>
        <w:t xml:space="preserve">RACK </w:t>
      </w:r>
      <w:r>
        <w:rPr>
          <w:b/>
          <w:caps/>
          <w:sz w:val="22"/>
          <w:szCs w:val="22"/>
        </w:rPr>
        <w:t>LOADOUT AND FLARE (EU 006)</w:t>
      </w:r>
    </w:p>
    <w:p w:rsidR="00583363" w:rsidRPr="00941417" w:rsidRDefault="008B19E3" w:rsidP="008B19E3">
      <w:pPr>
        <w:pStyle w:val="ListParagraph"/>
        <w:widowControl w:val="0"/>
        <w:numPr>
          <w:ilvl w:val="1"/>
          <w:numId w:val="15"/>
        </w:numPr>
        <w:spacing w:after="120"/>
        <w:ind w:left="450"/>
        <w:contextualSpacing w:val="0"/>
        <w:rPr>
          <w:b/>
          <w:sz w:val="22"/>
          <w:szCs w:val="22"/>
        </w:rPr>
      </w:pPr>
      <w:r w:rsidRPr="00941417">
        <w:rPr>
          <w:b/>
          <w:sz w:val="22"/>
          <w:szCs w:val="22"/>
        </w:rPr>
        <w:t>Discussion</w:t>
      </w:r>
    </w:p>
    <w:p w:rsidR="008B19E3" w:rsidRDefault="008B19E3" w:rsidP="00A31D67">
      <w:pPr>
        <w:widowControl w:val="0"/>
        <w:spacing w:after="120"/>
        <w:ind w:left="18"/>
        <w:rPr>
          <w:sz w:val="22"/>
          <w:szCs w:val="22"/>
        </w:rPr>
      </w:pPr>
      <w:r w:rsidRPr="00975883">
        <w:rPr>
          <w:sz w:val="22"/>
          <w:szCs w:val="22"/>
        </w:rPr>
        <w:t>The denatur</w:t>
      </w:r>
      <w:r w:rsidR="004F5587">
        <w:rPr>
          <w:sz w:val="22"/>
          <w:szCs w:val="22"/>
        </w:rPr>
        <w:t>ed</w:t>
      </w:r>
      <w:r w:rsidRPr="00975883">
        <w:rPr>
          <w:sz w:val="22"/>
          <w:szCs w:val="22"/>
        </w:rPr>
        <w:t xml:space="preserve"> ethanol product (ethanol blended with</w:t>
      </w:r>
      <w:r>
        <w:rPr>
          <w:sz w:val="22"/>
          <w:szCs w:val="22"/>
        </w:rPr>
        <w:t xml:space="preserve"> </w:t>
      </w:r>
      <w:r w:rsidRPr="00975883">
        <w:rPr>
          <w:sz w:val="22"/>
          <w:szCs w:val="22"/>
        </w:rPr>
        <w:t xml:space="preserve">gasoline) </w:t>
      </w:r>
      <w:r w:rsidRPr="009026C4">
        <w:rPr>
          <w:color w:val="000000"/>
          <w:sz w:val="22"/>
          <w:szCs w:val="22"/>
        </w:rPr>
        <w:t>will be loaded onto tank</w:t>
      </w:r>
      <w:r>
        <w:rPr>
          <w:color w:val="000000"/>
          <w:sz w:val="22"/>
          <w:szCs w:val="22"/>
        </w:rPr>
        <w:t>er</w:t>
      </w:r>
      <w:r w:rsidRPr="009026C4">
        <w:rPr>
          <w:color w:val="000000"/>
          <w:sz w:val="22"/>
          <w:szCs w:val="22"/>
        </w:rPr>
        <w:t xml:space="preserve"> trucks at a </w:t>
      </w:r>
      <w:r>
        <w:rPr>
          <w:color w:val="000000"/>
          <w:sz w:val="22"/>
          <w:szCs w:val="22"/>
        </w:rPr>
        <w:t xml:space="preserve">maximum </w:t>
      </w:r>
      <w:r w:rsidRPr="009026C4">
        <w:rPr>
          <w:color w:val="000000"/>
          <w:sz w:val="22"/>
          <w:szCs w:val="22"/>
        </w:rPr>
        <w:t xml:space="preserve">rate of </w:t>
      </w:r>
      <w:r w:rsidRPr="00975883">
        <w:rPr>
          <w:sz w:val="22"/>
          <w:szCs w:val="22"/>
        </w:rPr>
        <w:t>600 gallons per minute</w:t>
      </w:r>
      <w:r w:rsidRPr="009026C4">
        <w:rPr>
          <w:color w:val="000000"/>
          <w:sz w:val="22"/>
          <w:szCs w:val="22"/>
        </w:rPr>
        <w:t xml:space="preserve"> using submerged fill.  </w:t>
      </w:r>
      <w:r w:rsidRPr="00975883">
        <w:rPr>
          <w:sz w:val="22"/>
          <w:szCs w:val="22"/>
        </w:rPr>
        <w:t xml:space="preserve">The maximum throughput product rate is </w:t>
      </w:r>
      <w:r>
        <w:rPr>
          <w:sz w:val="22"/>
          <w:szCs w:val="22"/>
        </w:rPr>
        <w:t>36,000,000</w:t>
      </w:r>
      <w:r w:rsidRPr="00975883">
        <w:rPr>
          <w:sz w:val="22"/>
          <w:szCs w:val="22"/>
        </w:rPr>
        <w:t xml:space="preserve"> gal/yr of ethanol</w:t>
      </w:r>
      <w:r>
        <w:rPr>
          <w:sz w:val="22"/>
          <w:szCs w:val="22"/>
        </w:rPr>
        <w:t>, blended with</w:t>
      </w:r>
      <w:r w:rsidRPr="00975883">
        <w:rPr>
          <w:sz w:val="22"/>
          <w:szCs w:val="22"/>
        </w:rPr>
        <w:t xml:space="preserve"> gasoline.</w:t>
      </w:r>
      <w:r>
        <w:rPr>
          <w:sz w:val="22"/>
          <w:szCs w:val="22"/>
        </w:rPr>
        <w:t xml:space="preserve">  During this filling process, vapors that were already present in the trucks’ tanks are displaced by the incoming ethanol and gasoline</w:t>
      </w:r>
      <w:r w:rsidR="00A60D83">
        <w:rPr>
          <w:sz w:val="22"/>
          <w:szCs w:val="22"/>
        </w:rPr>
        <w:t>, leading to emissions of VOC</w:t>
      </w:r>
      <w:r>
        <w:rPr>
          <w:sz w:val="22"/>
          <w:szCs w:val="22"/>
        </w:rPr>
        <w:t>.  This operation is subject to the standards for transfer racks in NESHAP Subpart FFFF, for miscellaneous organic chemical manufacturing.  Subpart FFFF requires the control of vapor emissions from loading rack operations through several possible options, including a flare, a non-flare control device with a destruction efficiency of 98%, a mechanism to vent emissions to a fuel gas system, or a vapor balancing system to route collected vapors back to the storage tank.  The BACT option must be at least as stringent as the Subpart FFFF requirements.</w:t>
      </w:r>
    </w:p>
    <w:p w:rsidR="008B19E3" w:rsidRDefault="008B19E3" w:rsidP="008B19E3">
      <w:pPr>
        <w:widowControl w:val="0"/>
        <w:spacing w:after="120"/>
        <w:rPr>
          <w:sz w:val="22"/>
          <w:szCs w:val="22"/>
        </w:rPr>
      </w:pPr>
      <w:r>
        <w:rPr>
          <w:sz w:val="22"/>
          <w:szCs w:val="22"/>
        </w:rPr>
        <w:t>The Department’s previous BACT determination included the use of a flare</w:t>
      </w:r>
      <w:r w:rsidR="00941417">
        <w:rPr>
          <w:sz w:val="22"/>
          <w:szCs w:val="22"/>
        </w:rPr>
        <w:t>, with a rated capacity of 9.8 MMBtu/hr and a design control efficiency of 98%,</w:t>
      </w:r>
      <w:r>
        <w:rPr>
          <w:sz w:val="22"/>
          <w:szCs w:val="22"/>
        </w:rPr>
        <w:t xml:space="preserve"> for the destruction of collected vapors.  This is also one of the Subpart FFFF control options.</w:t>
      </w:r>
    </w:p>
    <w:p w:rsidR="00941417" w:rsidRPr="00941417" w:rsidRDefault="00941417" w:rsidP="00941417">
      <w:pPr>
        <w:pStyle w:val="ListParagraph"/>
        <w:widowControl w:val="0"/>
        <w:numPr>
          <w:ilvl w:val="1"/>
          <w:numId w:val="15"/>
        </w:numPr>
        <w:spacing w:after="120"/>
        <w:ind w:left="450"/>
        <w:contextualSpacing w:val="0"/>
        <w:rPr>
          <w:b/>
          <w:sz w:val="22"/>
          <w:szCs w:val="22"/>
        </w:rPr>
      </w:pPr>
      <w:r w:rsidRPr="00941417">
        <w:rPr>
          <w:b/>
          <w:sz w:val="22"/>
          <w:szCs w:val="22"/>
        </w:rPr>
        <w:t>Applicant’s Proposal</w:t>
      </w:r>
    </w:p>
    <w:p w:rsidR="00941417" w:rsidRDefault="00941417" w:rsidP="00941417">
      <w:pPr>
        <w:widowControl w:val="0"/>
        <w:spacing w:after="120"/>
        <w:ind w:left="18"/>
        <w:rPr>
          <w:sz w:val="22"/>
          <w:szCs w:val="22"/>
        </w:rPr>
      </w:pPr>
      <w:r>
        <w:rPr>
          <w:sz w:val="22"/>
          <w:szCs w:val="22"/>
        </w:rPr>
        <w:t>The applicant has proposed the reaffirmation of the previous BACT determination.</w:t>
      </w:r>
    </w:p>
    <w:p w:rsidR="00987259" w:rsidRPr="00941417" w:rsidRDefault="00987259" w:rsidP="00987259">
      <w:pPr>
        <w:pStyle w:val="ListParagraph"/>
        <w:widowControl w:val="0"/>
        <w:numPr>
          <w:ilvl w:val="1"/>
          <w:numId w:val="15"/>
        </w:numPr>
        <w:spacing w:after="120"/>
        <w:ind w:left="450"/>
        <w:contextualSpacing w:val="0"/>
        <w:rPr>
          <w:b/>
          <w:sz w:val="22"/>
          <w:szCs w:val="22"/>
        </w:rPr>
      </w:pPr>
      <w:r>
        <w:rPr>
          <w:b/>
          <w:sz w:val="22"/>
          <w:szCs w:val="22"/>
        </w:rPr>
        <w:t>Department’s Determination</w:t>
      </w:r>
    </w:p>
    <w:p w:rsidR="00987259" w:rsidRDefault="00987259" w:rsidP="00987259">
      <w:pPr>
        <w:widowControl w:val="0"/>
        <w:spacing w:after="120"/>
        <w:ind w:left="18"/>
        <w:rPr>
          <w:sz w:val="22"/>
          <w:szCs w:val="22"/>
        </w:rPr>
      </w:pPr>
      <w:r>
        <w:rPr>
          <w:sz w:val="22"/>
          <w:szCs w:val="22"/>
        </w:rPr>
        <w:t>The applicant agrees that a capture system with flare constitutes BACT for the emissions unit.  This control option is one of the NESHAP options, so it is clearly at least as stringent as the NESHAP requirement.  The flare is an appropriate BACT control for this process.</w:t>
      </w:r>
    </w:p>
    <w:p w:rsidR="00987259" w:rsidRDefault="00987259" w:rsidP="00AF6F91">
      <w:pPr>
        <w:pStyle w:val="ListParagraph"/>
        <w:widowControl w:val="0"/>
        <w:numPr>
          <w:ilvl w:val="0"/>
          <w:numId w:val="15"/>
        </w:numPr>
        <w:spacing w:after="120"/>
        <w:ind w:left="720" w:hanging="720"/>
        <w:contextualSpacing w:val="0"/>
        <w:rPr>
          <w:b/>
          <w:caps/>
          <w:sz w:val="22"/>
          <w:szCs w:val="22"/>
        </w:rPr>
      </w:pPr>
      <w:r>
        <w:rPr>
          <w:b/>
          <w:caps/>
          <w:sz w:val="22"/>
          <w:szCs w:val="22"/>
        </w:rPr>
        <w:t>BACT Review for MISCELLANEOUS DRY MATERIAL STORAGE SILOS (EU 007)</w:t>
      </w:r>
    </w:p>
    <w:p w:rsidR="00987259" w:rsidRDefault="00987259" w:rsidP="00987259">
      <w:pPr>
        <w:pStyle w:val="ListParagraph"/>
        <w:widowControl w:val="0"/>
        <w:numPr>
          <w:ilvl w:val="1"/>
          <w:numId w:val="15"/>
        </w:numPr>
        <w:spacing w:after="120"/>
        <w:ind w:left="450"/>
        <w:contextualSpacing w:val="0"/>
        <w:rPr>
          <w:b/>
          <w:sz w:val="22"/>
          <w:szCs w:val="22"/>
        </w:rPr>
      </w:pPr>
      <w:r w:rsidRPr="00941417">
        <w:rPr>
          <w:b/>
          <w:sz w:val="22"/>
          <w:szCs w:val="22"/>
        </w:rPr>
        <w:t>Discussion</w:t>
      </w:r>
    </w:p>
    <w:p w:rsidR="00411999" w:rsidRPr="00411999" w:rsidRDefault="00C12C89" w:rsidP="00411999">
      <w:pPr>
        <w:widowControl w:val="0"/>
        <w:spacing w:after="120"/>
        <w:ind w:left="18"/>
        <w:rPr>
          <w:b/>
          <w:sz w:val="22"/>
          <w:szCs w:val="22"/>
        </w:rPr>
      </w:pPr>
      <w:r>
        <w:rPr>
          <w:sz w:val="22"/>
          <w:szCs w:val="22"/>
        </w:rPr>
        <w:t>T</w:t>
      </w:r>
      <w:r w:rsidR="00411999" w:rsidRPr="00A21062">
        <w:rPr>
          <w:sz w:val="22"/>
          <w:szCs w:val="22"/>
        </w:rPr>
        <w:t xml:space="preserve">hese silos </w:t>
      </w:r>
      <w:r w:rsidR="00411999">
        <w:rPr>
          <w:sz w:val="22"/>
          <w:szCs w:val="22"/>
        </w:rPr>
        <w:t xml:space="preserve">include one </w:t>
      </w:r>
      <w:r w:rsidR="00411999" w:rsidRPr="009704B9">
        <w:rPr>
          <w:sz w:val="22"/>
          <w:szCs w:val="22"/>
        </w:rPr>
        <w:t>limestone, hydrated lime or trona storage silo for the DSIS</w:t>
      </w:r>
      <w:r>
        <w:rPr>
          <w:sz w:val="22"/>
          <w:szCs w:val="22"/>
        </w:rPr>
        <w:t xml:space="preserve"> (if needed)</w:t>
      </w:r>
      <w:r w:rsidR="00411999" w:rsidRPr="009704B9">
        <w:rPr>
          <w:sz w:val="22"/>
          <w:szCs w:val="22"/>
        </w:rPr>
        <w:t>;</w:t>
      </w:r>
      <w:r w:rsidR="00411999">
        <w:rPr>
          <w:sz w:val="22"/>
          <w:szCs w:val="22"/>
        </w:rPr>
        <w:t xml:space="preserve"> o</w:t>
      </w:r>
      <w:r w:rsidR="00411999" w:rsidRPr="009704B9">
        <w:rPr>
          <w:sz w:val="22"/>
          <w:szCs w:val="22"/>
        </w:rPr>
        <w:t>ne lime storage silo for the water treatment system;</w:t>
      </w:r>
      <w:r w:rsidR="00411999">
        <w:rPr>
          <w:sz w:val="22"/>
          <w:szCs w:val="22"/>
        </w:rPr>
        <w:t xml:space="preserve"> i</w:t>
      </w:r>
      <w:r w:rsidR="00411999" w:rsidRPr="009704B9">
        <w:rPr>
          <w:sz w:val="22"/>
          <w:szCs w:val="22"/>
        </w:rPr>
        <w:t>f used in SNCR system, one urea storage silo; and</w:t>
      </w:r>
      <w:r w:rsidR="00411999">
        <w:rPr>
          <w:sz w:val="22"/>
          <w:szCs w:val="22"/>
        </w:rPr>
        <w:t xml:space="preserve"> one f</w:t>
      </w:r>
      <w:r w:rsidR="00411999" w:rsidRPr="009704B9">
        <w:rPr>
          <w:sz w:val="22"/>
          <w:szCs w:val="22"/>
        </w:rPr>
        <w:t>ly ash storage silo</w:t>
      </w:r>
      <w:r w:rsidR="00411999">
        <w:rPr>
          <w:sz w:val="22"/>
          <w:szCs w:val="22"/>
        </w:rPr>
        <w:t>.  The silos will emit small amounts of PM</w:t>
      </w:r>
      <w:r>
        <w:rPr>
          <w:sz w:val="22"/>
          <w:szCs w:val="22"/>
        </w:rPr>
        <w:t xml:space="preserve">, </w:t>
      </w:r>
      <w:r w:rsidR="00411999">
        <w:rPr>
          <w:sz w:val="22"/>
          <w:szCs w:val="22"/>
        </w:rPr>
        <w:t>PM</w:t>
      </w:r>
      <w:r w:rsidR="00411999" w:rsidRPr="00317A9C">
        <w:rPr>
          <w:sz w:val="22"/>
          <w:szCs w:val="22"/>
          <w:vertAlign w:val="subscript"/>
        </w:rPr>
        <w:t>10</w:t>
      </w:r>
      <w:r>
        <w:rPr>
          <w:color w:val="000000"/>
          <w:sz w:val="22"/>
          <w:szCs w:val="22"/>
        </w:rPr>
        <w:t xml:space="preserve">, and </w:t>
      </w:r>
      <w:r w:rsidR="00411999" w:rsidRPr="0079720E">
        <w:rPr>
          <w:color w:val="000000"/>
          <w:sz w:val="22"/>
          <w:szCs w:val="22"/>
        </w:rPr>
        <w:t>PM</w:t>
      </w:r>
      <w:r w:rsidR="00411999" w:rsidRPr="0079720E">
        <w:rPr>
          <w:color w:val="000000"/>
          <w:sz w:val="22"/>
          <w:szCs w:val="22"/>
          <w:vertAlign w:val="subscript"/>
        </w:rPr>
        <w:t>2.5</w:t>
      </w:r>
      <w:r w:rsidR="00411999" w:rsidRPr="008059F2">
        <w:rPr>
          <w:color w:val="000000"/>
          <w:sz w:val="22"/>
          <w:szCs w:val="22"/>
        </w:rPr>
        <w:t xml:space="preserve"> with the applicant estimating the total to be</w:t>
      </w:r>
      <w:r w:rsidR="00411999">
        <w:rPr>
          <w:sz w:val="22"/>
          <w:szCs w:val="22"/>
        </w:rPr>
        <w:t xml:space="preserve"> 0.85 TPY</w:t>
      </w:r>
      <w:r>
        <w:rPr>
          <w:sz w:val="22"/>
          <w:szCs w:val="22"/>
        </w:rPr>
        <w:t xml:space="preserve"> of each</w:t>
      </w:r>
      <w:r w:rsidR="00411999">
        <w:rPr>
          <w:sz w:val="22"/>
          <w:szCs w:val="22"/>
        </w:rPr>
        <w:t>.</w:t>
      </w:r>
    </w:p>
    <w:p w:rsidR="00987259" w:rsidRDefault="00987259" w:rsidP="00987259">
      <w:pPr>
        <w:pStyle w:val="ListParagraph"/>
        <w:widowControl w:val="0"/>
        <w:numPr>
          <w:ilvl w:val="1"/>
          <w:numId w:val="15"/>
        </w:numPr>
        <w:spacing w:after="120"/>
        <w:ind w:left="450"/>
        <w:contextualSpacing w:val="0"/>
        <w:rPr>
          <w:b/>
          <w:sz w:val="22"/>
          <w:szCs w:val="22"/>
        </w:rPr>
      </w:pPr>
      <w:r w:rsidRPr="00941417">
        <w:rPr>
          <w:b/>
          <w:sz w:val="22"/>
          <w:szCs w:val="22"/>
        </w:rPr>
        <w:t>Applicant’s Proposal</w:t>
      </w:r>
    </w:p>
    <w:p w:rsidR="00C12C89" w:rsidRPr="00C12C89" w:rsidRDefault="00C12C89" w:rsidP="00C12C89">
      <w:pPr>
        <w:widowControl w:val="0"/>
        <w:spacing w:after="120"/>
        <w:ind w:left="18"/>
        <w:rPr>
          <w:b/>
          <w:sz w:val="22"/>
          <w:szCs w:val="22"/>
        </w:rPr>
      </w:pPr>
      <w:r w:rsidRPr="0011201C">
        <w:rPr>
          <w:sz w:val="22"/>
          <w:szCs w:val="22"/>
        </w:rPr>
        <w:t xml:space="preserve">The </w:t>
      </w:r>
      <w:r>
        <w:rPr>
          <w:sz w:val="22"/>
          <w:szCs w:val="22"/>
        </w:rPr>
        <w:t>Department’s original BACT determination was</w:t>
      </w:r>
      <w:r w:rsidRPr="0011201C">
        <w:rPr>
          <w:sz w:val="22"/>
          <w:szCs w:val="22"/>
        </w:rPr>
        <w:t xml:space="preserve"> to control PM/PM</w:t>
      </w:r>
      <w:r w:rsidRPr="0011201C">
        <w:rPr>
          <w:sz w:val="22"/>
          <w:szCs w:val="22"/>
          <w:vertAlign w:val="subscript"/>
        </w:rPr>
        <w:t>10</w:t>
      </w:r>
      <w:r w:rsidRPr="0011201C">
        <w:rPr>
          <w:sz w:val="22"/>
          <w:szCs w:val="22"/>
        </w:rPr>
        <w:t>/PM</w:t>
      </w:r>
      <w:r w:rsidRPr="0011201C">
        <w:rPr>
          <w:sz w:val="22"/>
          <w:szCs w:val="22"/>
          <w:vertAlign w:val="subscript"/>
        </w:rPr>
        <w:t xml:space="preserve">2.5 </w:t>
      </w:r>
      <w:r w:rsidRPr="0011201C">
        <w:rPr>
          <w:sz w:val="22"/>
          <w:szCs w:val="22"/>
        </w:rPr>
        <w:t>emissions from the miscellaneous dry material storage silos by standard type bin vent filter</w:t>
      </w:r>
      <w:r>
        <w:rPr>
          <w:sz w:val="22"/>
          <w:szCs w:val="22"/>
        </w:rPr>
        <w:t xml:space="preserve">s.  </w:t>
      </w:r>
      <w:r w:rsidRPr="0011201C">
        <w:rPr>
          <w:sz w:val="22"/>
          <w:szCs w:val="22"/>
        </w:rPr>
        <w:t>These are passive control devices that do not have a fan.</w:t>
      </w:r>
      <w:r>
        <w:rPr>
          <w:sz w:val="22"/>
          <w:szCs w:val="22"/>
        </w:rPr>
        <w:t xml:space="preserve">  </w:t>
      </w:r>
      <w:r w:rsidRPr="0011201C">
        <w:rPr>
          <w:sz w:val="22"/>
          <w:szCs w:val="22"/>
        </w:rPr>
        <w:t xml:space="preserve">When the silos are pneumatically loaded from trucks, the conveying air must exit the silo </w:t>
      </w:r>
      <w:r w:rsidRPr="0011201C">
        <w:rPr>
          <w:sz w:val="22"/>
          <w:szCs w:val="22"/>
        </w:rPr>
        <w:lastRenderedPageBreak/>
        <w:t>through the bin vent filter.</w:t>
      </w:r>
      <w:r>
        <w:rPr>
          <w:sz w:val="22"/>
          <w:szCs w:val="22"/>
        </w:rPr>
        <w:t xml:space="preserve">  These filters will</w:t>
      </w:r>
      <w:r w:rsidRPr="0011201C">
        <w:rPr>
          <w:sz w:val="22"/>
          <w:szCs w:val="22"/>
        </w:rPr>
        <w:t xml:space="preserve"> control dust emissions </w:t>
      </w:r>
      <w:r>
        <w:rPr>
          <w:sz w:val="22"/>
          <w:szCs w:val="22"/>
        </w:rPr>
        <w:t>in the</w:t>
      </w:r>
      <w:r w:rsidRPr="0011201C">
        <w:rPr>
          <w:sz w:val="22"/>
          <w:szCs w:val="22"/>
        </w:rPr>
        <w:t xml:space="preserve"> exhaust gas </w:t>
      </w:r>
      <w:r>
        <w:rPr>
          <w:sz w:val="22"/>
          <w:szCs w:val="22"/>
        </w:rPr>
        <w:t>to a</w:t>
      </w:r>
      <w:r w:rsidRPr="0011201C">
        <w:rPr>
          <w:sz w:val="22"/>
          <w:szCs w:val="22"/>
        </w:rPr>
        <w:t xml:space="preserve"> concentration of 0.01 grains per dry standard cubic foot (gr</w:t>
      </w:r>
      <w:r w:rsidR="00EA7A5B">
        <w:rPr>
          <w:sz w:val="22"/>
          <w:szCs w:val="22"/>
        </w:rPr>
        <w:t>.</w:t>
      </w:r>
      <w:r w:rsidRPr="0011201C">
        <w:rPr>
          <w:sz w:val="22"/>
          <w:szCs w:val="22"/>
        </w:rPr>
        <w:t>/dscf).  These storage silos will each have a standard type bin vent filter to control dust emissions.</w:t>
      </w:r>
      <w:r>
        <w:rPr>
          <w:sz w:val="22"/>
          <w:szCs w:val="22"/>
        </w:rPr>
        <w:t xml:space="preserve">  The applicant has proposed reaffirmation of this as BACT.</w:t>
      </w:r>
    </w:p>
    <w:p w:rsidR="00987259" w:rsidRPr="00941417" w:rsidRDefault="00987259" w:rsidP="00987259">
      <w:pPr>
        <w:pStyle w:val="ListParagraph"/>
        <w:widowControl w:val="0"/>
        <w:numPr>
          <w:ilvl w:val="1"/>
          <w:numId w:val="15"/>
        </w:numPr>
        <w:spacing w:after="120"/>
        <w:ind w:left="450"/>
        <w:contextualSpacing w:val="0"/>
        <w:rPr>
          <w:b/>
          <w:sz w:val="22"/>
          <w:szCs w:val="22"/>
        </w:rPr>
      </w:pPr>
      <w:r>
        <w:rPr>
          <w:b/>
          <w:sz w:val="22"/>
          <w:szCs w:val="22"/>
        </w:rPr>
        <w:t>Department’s Determination</w:t>
      </w:r>
    </w:p>
    <w:p w:rsidR="00A60D83" w:rsidRDefault="00C12C89" w:rsidP="00987259">
      <w:pPr>
        <w:widowControl w:val="0"/>
        <w:spacing w:after="120"/>
        <w:ind w:left="18"/>
        <w:rPr>
          <w:sz w:val="22"/>
          <w:szCs w:val="22"/>
        </w:rPr>
      </w:pPr>
      <w:r>
        <w:rPr>
          <w:sz w:val="22"/>
          <w:szCs w:val="22"/>
        </w:rPr>
        <w:t>The Department concurs with the applicant’s proposal for BACT.  The Department also establishes that VE from each bin vent filter during material loading</w:t>
      </w:r>
      <w:r w:rsidRPr="0011201C">
        <w:rPr>
          <w:sz w:val="22"/>
          <w:szCs w:val="22"/>
        </w:rPr>
        <w:t xml:space="preserve"> shall not exceed 5% opacity as demonstrated by initial and annual compliance tests.  A </w:t>
      </w:r>
      <w:r>
        <w:rPr>
          <w:sz w:val="22"/>
          <w:szCs w:val="22"/>
        </w:rPr>
        <w:t xml:space="preserve">VE </w:t>
      </w:r>
      <w:r w:rsidRPr="0011201C">
        <w:rPr>
          <w:sz w:val="22"/>
          <w:szCs w:val="22"/>
        </w:rPr>
        <w:t xml:space="preserve">emission reading of 5% opacity or less may be used to establish compliance </w:t>
      </w:r>
      <w:r>
        <w:rPr>
          <w:sz w:val="22"/>
          <w:szCs w:val="22"/>
        </w:rPr>
        <w:t xml:space="preserve">with the </w:t>
      </w:r>
      <w:r w:rsidRPr="0011201C">
        <w:rPr>
          <w:sz w:val="22"/>
          <w:szCs w:val="22"/>
        </w:rPr>
        <w:t>0.01 gr</w:t>
      </w:r>
      <w:r w:rsidR="00EA7A5B">
        <w:rPr>
          <w:sz w:val="22"/>
          <w:szCs w:val="22"/>
        </w:rPr>
        <w:t>.</w:t>
      </w:r>
      <w:r w:rsidRPr="0011201C">
        <w:rPr>
          <w:sz w:val="22"/>
          <w:szCs w:val="22"/>
        </w:rPr>
        <w:t>/dscf</w:t>
      </w:r>
      <w:r>
        <w:rPr>
          <w:sz w:val="22"/>
          <w:szCs w:val="22"/>
        </w:rPr>
        <w:t xml:space="preserve"> standard.</w:t>
      </w:r>
      <w:r w:rsidRPr="0011201C">
        <w:rPr>
          <w:sz w:val="22"/>
          <w:szCs w:val="22"/>
        </w:rPr>
        <w:t xml:space="preserve">  A visible emission reading greater than 5% opacity will require the permittee to perform a PM</w:t>
      </w:r>
      <w:r>
        <w:rPr>
          <w:sz w:val="22"/>
          <w:szCs w:val="22"/>
        </w:rPr>
        <w:t xml:space="preserve"> e</w:t>
      </w:r>
      <w:r w:rsidRPr="0011201C">
        <w:rPr>
          <w:sz w:val="22"/>
          <w:szCs w:val="22"/>
        </w:rPr>
        <w:t xml:space="preserve">missions stack test </w:t>
      </w:r>
      <w:r>
        <w:rPr>
          <w:sz w:val="22"/>
          <w:szCs w:val="22"/>
        </w:rPr>
        <w:t xml:space="preserve">on the bin vent filter </w:t>
      </w:r>
      <w:r w:rsidRPr="0011201C">
        <w:rPr>
          <w:sz w:val="22"/>
          <w:szCs w:val="22"/>
        </w:rPr>
        <w:t>within 60 days to show compliance</w:t>
      </w:r>
      <w:r>
        <w:rPr>
          <w:sz w:val="22"/>
          <w:szCs w:val="22"/>
        </w:rPr>
        <w:t xml:space="preserve"> with the PM limit.  Because essentially all of this PM is expected to be in the filterable form, only a test for filterable PM (Method 5) would be required in this scenario.</w:t>
      </w:r>
    </w:p>
    <w:p w:rsidR="00B27670" w:rsidRDefault="00B27670" w:rsidP="00AF6F91">
      <w:pPr>
        <w:pStyle w:val="ListParagraph"/>
        <w:widowControl w:val="0"/>
        <w:numPr>
          <w:ilvl w:val="0"/>
          <w:numId w:val="15"/>
        </w:numPr>
        <w:spacing w:after="120"/>
        <w:ind w:left="720" w:hanging="720"/>
        <w:contextualSpacing w:val="0"/>
        <w:rPr>
          <w:b/>
          <w:caps/>
          <w:sz w:val="22"/>
          <w:szCs w:val="22"/>
        </w:rPr>
      </w:pPr>
      <w:r>
        <w:rPr>
          <w:b/>
          <w:caps/>
          <w:sz w:val="22"/>
          <w:szCs w:val="22"/>
        </w:rPr>
        <w:t>BACT Review for EMERGENCY ENGINES (EU 008)</w:t>
      </w:r>
    </w:p>
    <w:p w:rsidR="00B27670" w:rsidRDefault="00B27670" w:rsidP="00B27670">
      <w:pPr>
        <w:pStyle w:val="ListParagraph"/>
        <w:widowControl w:val="0"/>
        <w:numPr>
          <w:ilvl w:val="1"/>
          <w:numId w:val="15"/>
        </w:numPr>
        <w:spacing w:after="120"/>
        <w:ind w:left="450"/>
        <w:contextualSpacing w:val="0"/>
        <w:rPr>
          <w:b/>
          <w:sz w:val="22"/>
          <w:szCs w:val="22"/>
        </w:rPr>
      </w:pPr>
      <w:r w:rsidRPr="00941417">
        <w:rPr>
          <w:b/>
          <w:sz w:val="22"/>
          <w:szCs w:val="22"/>
        </w:rPr>
        <w:t>Discussion</w:t>
      </w:r>
    </w:p>
    <w:p w:rsidR="00C12C89" w:rsidRPr="00C12C89" w:rsidRDefault="00C12C89" w:rsidP="00C12C89">
      <w:pPr>
        <w:widowControl w:val="0"/>
        <w:spacing w:after="120"/>
        <w:ind w:left="18"/>
        <w:rPr>
          <w:sz w:val="22"/>
          <w:szCs w:val="22"/>
        </w:rPr>
      </w:pPr>
      <w:r>
        <w:rPr>
          <w:sz w:val="22"/>
          <w:szCs w:val="22"/>
        </w:rPr>
        <w:t>The applicant has proposed the installation of one emergency generator rated at 2,000 kilowatts to provide backup electrical power in the event of a power outage.  A 600-horsepower diesel fire pump engine will be installed to provide fire water if necessary.</w:t>
      </w:r>
      <w:r w:rsidR="000B7F2A">
        <w:rPr>
          <w:sz w:val="22"/>
          <w:szCs w:val="22"/>
        </w:rPr>
        <w:t xml:space="preserve">  The engines will be operated only in emergencies, or for testing purposes – non-emergency use may not exceed 100 hours per year.  These engines will be subject to NSPS Subpart IIII, which limits emissions of CO, non-methane hydrocarbons (NMHC) + NO</w:t>
      </w:r>
      <w:r w:rsidR="000B7F2A" w:rsidRPr="000B7F2A">
        <w:rPr>
          <w:sz w:val="22"/>
          <w:szCs w:val="22"/>
          <w:vertAlign w:val="subscript"/>
        </w:rPr>
        <w:t>X</w:t>
      </w:r>
      <w:r w:rsidR="000B7F2A">
        <w:rPr>
          <w:sz w:val="22"/>
          <w:szCs w:val="22"/>
        </w:rPr>
        <w:t>, PM, and SO</w:t>
      </w:r>
      <w:r w:rsidR="000B7F2A" w:rsidRPr="000B7F2A">
        <w:rPr>
          <w:sz w:val="22"/>
          <w:szCs w:val="22"/>
          <w:vertAlign w:val="subscript"/>
        </w:rPr>
        <w:t>2</w:t>
      </w:r>
      <w:r w:rsidR="000B7F2A">
        <w:rPr>
          <w:sz w:val="22"/>
          <w:szCs w:val="22"/>
        </w:rPr>
        <w:t>.</w:t>
      </w:r>
    </w:p>
    <w:p w:rsidR="00B27670" w:rsidRDefault="00B27670" w:rsidP="00B27670">
      <w:pPr>
        <w:pStyle w:val="ListParagraph"/>
        <w:widowControl w:val="0"/>
        <w:numPr>
          <w:ilvl w:val="1"/>
          <w:numId w:val="15"/>
        </w:numPr>
        <w:spacing w:after="120"/>
        <w:ind w:left="450"/>
        <w:contextualSpacing w:val="0"/>
        <w:rPr>
          <w:b/>
          <w:sz w:val="22"/>
          <w:szCs w:val="22"/>
        </w:rPr>
      </w:pPr>
      <w:r w:rsidRPr="00941417">
        <w:rPr>
          <w:b/>
          <w:sz w:val="22"/>
          <w:szCs w:val="22"/>
        </w:rPr>
        <w:t>Applicant’s Proposal</w:t>
      </w:r>
    </w:p>
    <w:p w:rsidR="000B7F2A" w:rsidRPr="000B7F2A" w:rsidRDefault="000B7F2A" w:rsidP="000B7F2A">
      <w:pPr>
        <w:widowControl w:val="0"/>
        <w:spacing w:after="120"/>
        <w:ind w:left="18"/>
        <w:rPr>
          <w:sz w:val="22"/>
          <w:szCs w:val="22"/>
        </w:rPr>
      </w:pPr>
      <w:r>
        <w:rPr>
          <w:sz w:val="22"/>
          <w:szCs w:val="22"/>
        </w:rPr>
        <w:t>The Department’s original BACT determination was for the engines to comply with NSPS Subpart IIII.  Note that the limit on NMHC + NO</w:t>
      </w:r>
      <w:r w:rsidRPr="000B7F2A">
        <w:rPr>
          <w:sz w:val="22"/>
          <w:szCs w:val="22"/>
          <w:vertAlign w:val="subscript"/>
        </w:rPr>
        <w:t>X</w:t>
      </w:r>
      <w:r>
        <w:rPr>
          <w:sz w:val="22"/>
          <w:szCs w:val="22"/>
        </w:rPr>
        <w:t xml:space="preserve"> is effectively a limit on both VOC and NO</w:t>
      </w:r>
      <w:r w:rsidRPr="000B7F2A">
        <w:rPr>
          <w:sz w:val="22"/>
          <w:szCs w:val="22"/>
          <w:vertAlign w:val="subscript"/>
        </w:rPr>
        <w:t>X</w:t>
      </w:r>
      <w:r>
        <w:rPr>
          <w:sz w:val="22"/>
          <w:szCs w:val="22"/>
        </w:rPr>
        <w:t xml:space="preserve"> emissions.  The applicant has proposed a reaffirmation of this original BACT determination.</w:t>
      </w:r>
    </w:p>
    <w:p w:rsidR="00B27670" w:rsidRPr="00941417" w:rsidRDefault="00B27670" w:rsidP="00B27670">
      <w:pPr>
        <w:pStyle w:val="ListParagraph"/>
        <w:widowControl w:val="0"/>
        <w:numPr>
          <w:ilvl w:val="1"/>
          <w:numId w:val="15"/>
        </w:numPr>
        <w:spacing w:after="120"/>
        <w:ind w:left="450"/>
        <w:contextualSpacing w:val="0"/>
        <w:rPr>
          <w:b/>
          <w:sz w:val="22"/>
          <w:szCs w:val="22"/>
        </w:rPr>
      </w:pPr>
      <w:r>
        <w:rPr>
          <w:b/>
          <w:sz w:val="22"/>
          <w:szCs w:val="22"/>
        </w:rPr>
        <w:t>Department’s Determination</w:t>
      </w:r>
    </w:p>
    <w:p w:rsidR="00941417" w:rsidRDefault="000E3227" w:rsidP="008B19E3">
      <w:pPr>
        <w:widowControl w:val="0"/>
        <w:spacing w:after="120"/>
        <w:rPr>
          <w:sz w:val="22"/>
          <w:szCs w:val="22"/>
        </w:rPr>
      </w:pPr>
      <w:r>
        <w:rPr>
          <w:sz w:val="22"/>
          <w:szCs w:val="22"/>
        </w:rPr>
        <w:t>The limits in Subpart IIII, for compression ignition reciprocating internal combustion engines</w:t>
      </w:r>
      <w:r w:rsidR="002C0BB4">
        <w:rPr>
          <w:sz w:val="22"/>
          <w:szCs w:val="22"/>
        </w:rPr>
        <w:t>, are sufficiently stringent to be BACT for these emergency engines.  For greenhouse gases, efficiently operating engines are effectively the only way to limit emissions from emergency equipment.  For this reason, the installation of engines certified to meet the requirements of Subpart IIII will also constitute BACT for GHGs.</w:t>
      </w:r>
    </w:p>
    <w:p w:rsidR="00B27670" w:rsidRDefault="00B27670" w:rsidP="00AF6F91">
      <w:pPr>
        <w:pStyle w:val="ListParagraph"/>
        <w:widowControl w:val="0"/>
        <w:numPr>
          <w:ilvl w:val="0"/>
          <w:numId w:val="15"/>
        </w:numPr>
        <w:spacing w:after="120"/>
        <w:ind w:left="720" w:hanging="720"/>
        <w:contextualSpacing w:val="0"/>
        <w:rPr>
          <w:b/>
          <w:caps/>
          <w:sz w:val="22"/>
          <w:szCs w:val="22"/>
        </w:rPr>
      </w:pPr>
      <w:r>
        <w:rPr>
          <w:b/>
          <w:caps/>
          <w:sz w:val="22"/>
          <w:szCs w:val="22"/>
        </w:rPr>
        <w:t>BACT Review for FUGITIVE EQUIPMENT LEAKS (EU 009)</w:t>
      </w:r>
    </w:p>
    <w:p w:rsidR="00B27670" w:rsidRDefault="00B27670" w:rsidP="00B27670">
      <w:pPr>
        <w:pStyle w:val="ListParagraph"/>
        <w:widowControl w:val="0"/>
        <w:numPr>
          <w:ilvl w:val="1"/>
          <w:numId w:val="15"/>
        </w:numPr>
        <w:spacing w:after="120"/>
        <w:ind w:left="450"/>
        <w:contextualSpacing w:val="0"/>
        <w:rPr>
          <w:b/>
          <w:sz w:val="22"/>
          <w:szCs w:val="22"/>
        </w:rPr>
      </w:pPr>
      <w:r w:rsidRPr="00941417">
        <w:rPr>
          <w:b/>
          <w:sz w:val="22"/>
          <w:szCs w:val="22"/>
        </w:rPr>
        <w:t>Discussion</w:t>
      </w:r>
    </w:p>
    <w:p w:rsidR="00A60D83" w:rsidRDefault="00A60D83" w:rsidP="00A60D83">
      <w:pPr>
        <w:spacing w:after="120"/>
        <w:rPr>
          <w:color w:val="000000"/>
          <w:sz w:val="22"/>
          <w:szCs w:val="22"/>
        </w:rPr>
      </w:pPr>
      <w:r>
        <w:rPr>
          <w:color w:val="000000"/>
          <w:sz w:val="22"/>
          <w:szCs w:val="22"/>
        </w:rPr>
        <w:t xml:space="preserve">Uncontrolled leaks from equipment such as from pumps, compressors, relief devices, flanges, valves, etc. can be significant sources of VOC and HAP emissions.  This equipment is part of several of the emission units associated with this project.  Because the HEF project is a SOCMI facility, it is subject to NSPS Subpart VVa - </w:t>
      </w:r>
      <w:r w:rsidRPr="00457ADA">
        <w:rPr>
          <w:color w:val="000000"/>
          <w:sz w:val="22"/>
          <w:szCs w:val="22"/>
        </w:rPr>
        <w:t>Equipment Leaks in the</w:t>
      </w:r>
      <w:r>
        <w:rPr>
          <w:color w:val="000000"/>
          <w:sz w:val="22"/>
          <w:szCs w:val="22"/>
        </w:rPr>
        <w:t xml:space="preserve"> </w:t>
      </w:r>
      <w:r w:rsidRPr="00457ADA">
        <w:rPr>
          <w:color w:val="000000"/>
          <w:sz w:val="22"/>
          <w:szCs w:val="22"/>
        </w:rPr>
        <w:t>Synthetic Organic Chemical Manufacturing Industry (for projects that commence construction or</w:t>
      </w:r>
      <w:r>
        <w:rPr>
          <w:color w:val="000000"/>
          <w:sz w:val="22"/>
          <w:szCs w:val="22"/>
        </w:rPr>
        <w:t xml:space="preserve"> </w:t>
      </w:r>
      <w:r w:rsidRPr="00457ADA">
        <w:rPr>
          <w:color w:val="000000"/>
          <w:sz w:val="22"/>
          <w:szCs w:val="22"/>
        </w:rPr>
        <w:t>modifications after November 7, 2006)</w:t>
      </w:r>
      <w:r>
        <w:rPr>
          <w:color w:val="000000"/>
          <w:sz w:val="22"/>
          <w:szCs w:val="22"/>
        </w:rPr>
        <w:t>.  Subpart VVa has specific requirement for controlling such leaks from pumps, compressors, relief devices, flanges, valves, etc.  One requirement is the development of a Leak Detection and Repair (LDAR) program to insure compliance with VVa and any other requirements to control equipment leaks.  The VOC emissions from the following other emission units at the proposed HEF facility also fall under EU-012:</w:t>
      </w:r>
    </w:p>
    <w:p w:rsidR="00A60D83" w:rsidRPr="00B510FA" w:rsidRDefault="00A60D83" w:rsidP="00A60D83">
      <w:pPr>
        <w:pStyle w:val="ListParagraph"/>
        <w:numPr>
          <w:ilvl w:val="0"/>
          <w:numId w:val="30"/>
        </w:numPr>
        <w:spacing w:after="120"/>
        <w:ind w:left="360"/>
        <w:rPr>
          <w:color w:val="000000"/>
          <w:sz w:val="22"/>
          <w:szCs w:val="22"/>
        </w:rPr>
      </w:pPr>
      <w:r w:rsidRPr="00B510FA">
        <w:rPr>
          <w:color w:val="000000"/>
          <w:sz w:val="22"/>
          <w:szCs w:val="22"/>
        </w:rPr>
        <w:t>EU-003:  Cooling Towers;</w:t>
      </w:r>
    </w:p>
    <w:p w:rsidR="00A60D83" w:rsidRPr="00B510FA" w:rsidRDefault="00A60D83" w:rsidP="00A60D83">
      <w:pPr>
        <w:pStyle w:val="ListParagraph"/>
        <w:numPr>
          <w:ilvl w:val="0"/>
          <w:numId w:val="30"/>
        </w:numPr>
        <w:spacing w:after="120"/>
        <w:ind w:left="360"/>
        <w:rPr>
          <w:color w:val="000000"/>
          <w:sz w:val="22"/>
          <w:szCs w:val="22"/>
        </w:rPr>
      </w:pPr>
      <w:r w:rsidRPr="00B510FA">
        <w:rPr>
          <w:color w:val="000000"/>
          <w:sz w:val="22"/>
          <w:szCs w:val="22"/>
        </w:rPr>
        <w:t>EU-004:  Ethanol Production Process;</w:t>
      </w:r>
    </w:p>
    <w:p w:rsidR="00A60D83" w:rsidRPr="00B510FA" w:rsidRDefault="00A60D83" w:rsidP="00A60D83">
      <w:pPr>
        <w:pStyle w:val="ListParagraph"/>
        <w:numPr>
          <w:ilvl w:val="0"/>
          <w:numId w:val="30"/>
        </w:numPr>
        <w:spacing w:after="120"/>
        <w:ind w:left="360"/>
        <w:rPr>
          <w:color w:val="000000"/>
          <w:sz w:val="22"/>
          <w:szCs w:val="22"/>
        </w:rPr>
      </w:pPr>
      <w:r w:rsidRPr="00B510FA">
        <w:rPr>
          <w:color w:val="000000"/>
          <w:sz w:val="22"/>
          <w:szCs w:val="22"/>
        </w:rPr>
        <w:t>EU-00</w:t>
      </w:r>
      <w:r>
        <w:rPr>
          <w:color w:val="000000"/>
          <w:sz w:val="22"/>
          <w:szCs w:val="22"/>
        </w:rPr>
        <w:t>5</w:t>
      </w:r>
      <w:r w:rsidRPr="00B510FA">
        <w:rPr>
          <w:color w:val="000000"/>
          <w:sz w:val="22"/>
          <w:szCs w:val="22"/>
        </w:rPr>
        <w:t xml:space="preserve">:  Storage Tanks; and </w:t>
      </w:r>
    </w:p>
    <w:p w:rsidR="00A60D83" w:rsidRPr="00B510FA" w:rsidRDefault="00A60D83" w:rsidP="00A60D83">
      <w:pPr>
        <w:pStyle w:val="ListParagraph"/>
        <w:numPr>
          <w:ilvl w:val="0"/>
          <w:numId w:val="30"/>
        </w:numPr>
        <w:spacing w:after="120"/>
        <w:ind w:left="360"/>
        <w:rPr>
          <w:color w:val="000000"/>
          <w:sz w:val="22"/>
          <w:szCs w:val="22"/>
        </w:rPr>
      </w:pPr>
      <w:r w:rsidRPr="00B510FA">
        <w:rPr>
          <w:color w:val="000000"/>
          <w:sz w:val="22"/>
          <w:szCs w:val="22"/>
        </w:rPr>
        <w:t>EU-00</w:t>
      </w:r>
      <w:r>
        <w:rPr>
          <w:color w:val="000000"/>
          <w:sz w:val="22"/>
          <w:szCs w:val="22"/>
        </w:rPr>
        <w:t>6</w:t>
      </w:r>
      <w:r w:rsidRPr="00B510FA">
        <w:rPr>
          <w:color w:val="000000"/>
          <w:sz w:val="22"/>
          <w:szCs w:val="22"/>
        </w:rPr>
        <w:t>:  Truck Rack Product Loadout and Flare.</w:t>
      </w:r>
    </w:p>
    <w:p w:rsidR="00A60D83" w:rsidRPr="00A60D83" w:rsidRDefault="00A60D83" w:rsidP="00A60D83">
      <w:pPr>
        <w:widowControl w:val="0"/>
        <w:spacing w:after="120"/>
        <w:ind w:left="18"/>
        <w:rPr>
          <w:sz w:val="22"/>
          <w:szCs w:val="22"/>
        </w:rPr>
      </w:pPr>
      <w:r>
        <w:rPr>
          <w:sz w:val="22"/>
          <w:szCs w:val="22"/>
        </w:rPr>
        <w:t xml:space="preserve">For equipment handling significant amounts of methane, LDAR would also be </w:t>
      </w:r>
      <w:r w:rsidR="00097E76">
        <w:rPr>
          <w:sz w:val="22"/>
          <w:szCs w:val="22"/>
        </w:rPr>
        <w:t>an important strategy for the control of GHG emissions.  However, the HEF facility will handle primarily solid feedstocks and liquid products, not including methane.</w:t>
      </w:r>
    </w:p>
    <w:p w:rsidR="00B27670" w:rsidRDefault="00B27670" w:rsidP="00B27670">
      <w:pPr>
        <w:pStyle w:val="ListParagraph"/>
        <w:widowControl w:val="0"/>
        <w:numPr>
          <w:ilvl w:val="1"/>
          <w:numId w:val="15"/>
        </w:numPr>
        <w:spacing w:after="120"/>
        <w:ind w:left="450"/>
        <w:contextualSpacing w:val="0"/>
        <w:rPr>
          <w:b/>
          <w:sz w:val="22"/>
          <w:szCs w:val="22"/>
        </w:rPr>
      </w:pPr>
      <w:r w:rsidRPr="00941417">
        <w:rPr>
          <w:b/>
          <w:sz w:val="22"/>
          <w:szCs w:val="22"/>
        </w:rPr>
        <w:lastRenderedPageBreak/>
        <w:t>Applicant’s Proposal</w:t>
      </w:r>
    </w:p>
    <w:p w:rsidR="00097E76" w:rsidRPr="00097E76" w:rsidRDefault="00097E76" w:rsidP="00097E76">
      <w:pPr>
        <w:widowControl w:val="0"/>
        <w:spacing w:after="120"/>
        <w:ind w:left="18"/>
        <w:rPr>
          <w:sz w:val="22"/>
          <w:szCs w:val="22"/>
        </w:rPr>
      </w:pPr>
      <w:r>
        <w:rPr>
          <w:sz w:val="22"/>
          <w:szCs w:val="22"/>
        </w:rPr>
        <w:t>The Department’s original BACT determination included the use of a LDAR program and compliance with Subpart VVa as BACT for this emissions unit.  The applicant has request a reaffirmation of this previous determination.</w:t>
      </w:r>
    </w:p>
    <w:p w:rsidR="00B27670" w:rsidRPr="00941417" w:rsidRDefault="00B27670" w:rsidP="00B27670">
      <w:pPr>
        <w:pStyle w:val="ListParagraph"/>
        <w:widowControl w:val="0"/>
        <w:numPr>
          <w:ilvl w:val="1"/>
          <w:numId w:val="15"/>
        </w:numPr>
        <w:spacing w:after="120"/>
        <w:ind w:left="450"/>
        <w:contextualSpacing w:val="0"/>
        <w:rPr>
          <w:b/>
          <w:sz w:val="22"/>
          <w:szCs w:val="22"/>
        </w:rPr>
      </w:pPr>
      <w:r>
        <w:rPr>
          <w:b/>
          <w:sz w:val="22"/>
          <w:szCs w:val="22"/>
        </w:rPr>
        <w:t>Department’s Determination</w:t>
      </w:r>
    </w:p>
    <w:p w:rsidR="00B27670" w:rsidRPr="00A31D67" w:rsidRDefault="00097E76" w:rsidP="008B19E3">
      <w:pPr>
        <w:widowControl w:val="0"/>
        <w:spacing w:after="120"/>
        <w:rPr>
          <w:sz w:val="22"/>
          <w:szCs w:val="22"/>
        </w:rPr>
      </w:pPr>
      <w:r>
        <w:rPr>
          <w:color w:val="000000"/>
          <w:sz w:val="22"/>
          <w:szCs w:val="22"/>
        </w:rPr>
        <w:t xml:space="preserve">Subpart VVa is a comprehensive requirement.  Together with the LDAR program, Subpart VVa will </w:t>
      </w:r>
      <w:r w:rsidRPr="00D71A23">
        <w:rPr>
          <w:color w:val="000000"/>
          <w:sz w:val="22"/>
          <w:szCs w:val="22"/>
        </w:rPr>
        <w:t xml:space="preserve">complement </w:t>
      </w:r>
      <w:r>
        <w:rPr>
          <w:color w:val="000000"/>
          <w:sz w:val="22"/>
          <w:szCs w:val="22"/>
        </w:rPr>
        <w:t>the BACT determinations for each process emission unit that is a source of VOC and possibly odor.  The Department accepts the applicant’s proposal as BACT and will include a requirement to submit the details of a site-specific LDAR program pursuant to Subpart VVa no later than 90 days before the HEF becomes operational.  In addition, e</w:t>
      </w:r>
      <w:r w:rsidRPr="00B510FA">
        <w:rPr>
          <w:color w:val="000000"/>
          <w:sz w:val="22"/>
          <w:szCs w:val="22"/>
        </w:rPr>
        <w:t xml:space="preserve">quipment such as pumps, compressors, pressure relief devices, sampling connection systems, open-ended valves, line valves and flanges or other connectors in VOC service and any devices or systems subject to NSPS, Subpart VVa and the associated emissions unit must be identified with a list submitted to the Compliance Authority no later than 90 days before the </w:t>
      </w:r>
      <w:r>
        <w:rPr>
          <w:color w:val="000000"/>
          <w:sz w:val="22"/>
          <w:szCs w:val="22"/>
        </w:rPr>
        <w:t>HEF</w:t>
      </w:r>
      <w:r w:rsidRPr="00B510FA">
        <w:rPr>
          <w:color w:val="000000"/>
          <w:sz w:val="22"/>
          <w:szCs w:val="22"/>
        </w:rPr>
        <w:t xml:space="preserve"> facility becomes operational.</w:t>
      </w:r>
      <w:r>
        <w:rPr>
          <w:color w:val="000000"/>
          <w:sz w:val="22"/>
          <w:szCs w:val="22"/>
        </w:rPr>
        <w:t xml:space="preserve">  Finally, per Subpart VVa, HEF</w:t>
      </w:r>
      <w:r w:rsidRPr="00B510FA">
        <w:rPr>
          <w:color w:val="000000"/>
          <w:sz w:val="22"/>
          <w:szCs w:val="22"/>
        </w:rPr>
        <w:t xml:space="preserve"> must demonstrate compliance with NSPS, Subpart VV</w:t>
      </w:r>
      <w:r>
        <w:rPr>
          <w:color w:val="000000"/>
          <w:sz w:val="22"/>
          <w:szCs w:val="22"/>
        </w:rPr>
        <w:t>a</w:t>
      </w:r>
      <w:r w:rsidRPr="00B510FA">
        <w:rPr>
          <w:color w:val="000000"/>
          <w:sz w:val="22"/>
          <w:szCs w:val="22"/>
        </w:rPr>
        <w:t xml:space="preserve"> no later than 180 days after the initial startup of the </w:t>
      </w:r>
      <w:r>
        <w:rPr>
          <w:color w:val="000000"/>
          <w:sz w:val="22"/>
          <w:szCs w:val="22"/>
        </w:rPr>
        <w:t>HEF</w:t>
      </w:r>
      <w:r w:rsidRPr="00B510FA">
        <w:rPr>
          <w:color w:val="000000"/>
          <w:sz w:val="22"/>
          <w:szCs w:val="22"/>
        </w:rPr>
        <w:t xml:space="preserve"> facility.</w:t>
      </w:r>
    </w:p>
    <w:p w:rsidR="002757D9" w:rsidRDefault="00730A21" w:rsidP="00AF6F91">
      <w:pPr>
        <w:pStyle w:val="ListParagraph"/>
        <w:widowControl w:val="0"/>
        <w:numPr>
          <w:ilvl w:val="0"/>
          <w:numId w:val="15"/>
        </w:numPr>
        <w:spacing w:after="120"/>
        <w:ind w:left="720" w:hanging="720"/>
        <w:contextualSpacing w:val="0"/>
        <w:rPr>
          <w:b/>
          <w:caps/>
          <w:sz w:val="22"/>
          <w:szCs w:val="22"/>
        </w:rPr>
      </w:pPr>
      <w:r>
        <w:rPr>
          <w:b/>
          <w:caps/>
          <w:sz w:val="22"/>
          <w:szCs w:val="22"/>
        </w:rPr>
        <w:t>ODOR CONSIDERATIONS</w:t>
      </w:r>
    </w:p>
    <w:p w:rsidR="00EB3D60" w:rsidRPr="00730A21" w:rsidRDefault="00730A21" w:rsidP="00730A21">
      <w:pPr>
        <w:pStyle w:val="ListParagraph"/>
        <w:widowControl w:val="0"/>
        <w:numPr>
          <w:ilvl w:val="1"/>
          <w:numId w:val="15"/>
        </w:numPr>
        <w:spacing w:after="120"/>
        <w:ind w:left="450"/>
        <w:contextualSpacing w:val="0"/>
        <w:rPr>
          <w:b/>
          <w:sz w:val="22"/>
          <w:szCs w:val="22"/>
        </w:rPr>
      </w:pPr>
      <w:r w:rsidRPr="00730A21">
        <w:rPr>
          <w:b/>
          <w:sz w:val="22"/>
          <w:szCs w:val="22"/>
        </w:rPr>
        <w:t>Discussion</w:t>
      </w:r>
    </w:p>
    <w:p w:rsidR="00730A21" w:rsidRDefault="00730A21" w:rsidP="00FD32D5">
      <w:pPr>
        <w:widowControl w:val="0"/>
        <w:spacing w:after="120"/>
        <w:ind w:left="18"/>
        <w:rPr>
          <w:color w:val="000000"/>
          <w:sz w:val="22"/>
          <w:szCs w:val="22"/>
        </w:rPr>
      </w:pPr>
      <w:r>
        <w:rPr>
          <w:color w:val="000000"/>
          <w:sz w:val="22"/>
          <w:szCs w:val="22"/>
        </w:rPr>
        <w:t xml:space="preserve">In previous sections, reference was made to Rule </w:t>
      </w:r>
      <w:r w:rsidRPr="00397041">
        <w:rPr>
          <w:bCs/>
          <w:color w:val="000000"/>
          <w:sz w:val="22"/>
          <w:szCs w:val="22"/>
        </w:rPr>
        <w:t>62-296.320(2), F.A.C., which states:  “</w:t>
      </w:r>
      <w:r>
        <w:rPr>
          <w:bCs/>
          <w:color w:val="000000"/>
          <w:sz w:val="22"/>
          <w:szCs w:val="22"/>
        </w:rPr>
        <w:t>n</w:t>
      </w:r>
      <w:r w:rsidRPr="00397041">
        <w:rPr>
          <w:color w:val="000000"/>
          <w:sz w:val="22"/>
          <w:szCs w:val="22"/>
        </w:rPr>
        <w:t>o person shall cause, suffer, allow or permit the discharge of air pollutants which cause or contribute to an objectionable odor</w:t>
      </w:r>
      <w:r>
        <w:rPr>
          <w:color w:val="000000"/>
          <w:sz w:val="22"/>
          <w:szCs w:val="22"/>
        </w:rPr>
        <w:t>”</w:t>
      </w:r>
      <w:r w:rsidRPr="00397041">
        <w:rPr>
          <w:color w:val="000000"/>
          <w:sz w:val="22"/>
          <w:szCs w:val="22"/>
        </w:rPr>
        <w:t>.</w:t>
      </w:r>
      <w:r>
        <w:rPr>
          <w:color w:val="000000"/>
          <w:sz w:val="22"/>
          <w:szCs w:val="22"/>
        </w:rPr>
        <w:t xml:space="preserve">  However, even with </w:t>
      </w:r>
      <w:r w:rsidRPr="001C440E">
        <w:rPr>
          <w:color w:val="000000"/>
          <w:sz w:val="22"/>
          <w:szCs w:val="22"/>
        </w:rPr>
        <w:t xml:space="preserve">control measures, </w:t>
      </w:r>
      <w:r>
        <w:rPr>
          <w:color w:val="000000"/>
          <w:sz w:val="22"/>
          <w:szCs w:val="22"/>
        </w:rPr>
        <w:t xml:space="preserve">conventional grain </w:t>
      </w:r>
      <w:r w:rsidRPr="001C440E">
        <w:rPr>
          <w:color w:val="000000"/>
          <w:sz w:val="22"/>
          <w:szCs w:val="22"/>
        </w:rPr>
        <w:t xml:space="preserve">ethanol plants are often associated with odors.  </w:t>
      </w:r>
      <w:r>
        <w:rPr>
          <w:color w:val="000000"/>
          <w:sz w:val="22"/>
          <w:szCs w:val="22"/>
        </w:rPr>
        <w:t xml:space="preserve">The most important odor source in a conventional grain ethanol plant </w:t>
      </w:r>
      <w:r w:rsidRPr="001C440E">
        <w:rPr>
          <w:color w:val="000000"/>
          <w:sz w:val="22"/>
          <w:szCs w:val="22"/>
        </w:rPr>
        <w:t xml:space="preserve">is from the residual grain material after fermentation and separation of the ethanol.  </w:t>
      </w:r>
      <w:r>
        <w:rPr>
          <w:color w:val="000000"/>
          <w:sz w:val="22"/>
          <w:szCs w:val="22"/>
        </w:rPr>
        <w:t>The potential for odor from an ethanol plant utilizing sweet sorghum as its feedstock is probably less than a corn feedstock based facility.  Still odor is a concern and must be addressed.</w:t>
      </w:r>
    </w:p>
    <w:p w:rsidR="00730A21" w:rsidRPr="00730A21" w:rsidRDefault="00730A21" w:rsidP="00730A21">
      <w:pPr>
        <w:pStyle w:val="ListParagraph"/>
        <w:widowControl w:val="0"/>
        <w:numPr>
          <w:ilvl w:val="1"/>
          <w:numId w:val="15"/>
        </w:numPr>
        <w:spacing w:after="120"/>
        <w:ind w:left="450"/>
        <w:contextualSpacing w:val="0"/>
        <w:rPr>
          <w:b/>
          <w:color w:val="000000"/>
          <w:sz w:val="22"/>
          <w:szCs w:val="22"/>
        </w:rPr>
      </w:pPr>
      <w:r w:rsidRPr="00730A21">
        <w:rPr>
          <w:b/>
          <w:color w:val="000000"/>
          <w:sz w:val="22"/>
          <w:szCs w:val="22"/>
        </w:rPr>
        <w:t>Applicant’s Proposal</w:t>
      </w:r>
    </w:p>
    <w:p w:rsidR="00730A21" w:rsidRDefault="00730A21" w:rsidP="00730A21">
      <w:pPr>
        <w:shd w:val="clear" w:color="auto" w:fill="FFFFFF"/>
        <w:spacing w:after="120"/>
        <w:rPr>
          <w:sz w:val="22"/>
          <w:szCs w:val="22"/>
        </w:rPr>
      </w:pPr>
      <w:r>
        <w:rPr>
          <w:sz w:val="22"/>
          <w:szCs w:val="22"/>
        </w:rPr>
        <w:t xml:space="preserve">The applicant proposes the following measures to control VOC and odors at the HEF facility:  </w:t>
      </w:r>
    </w:p>
    <w:p w:rsidR="00730A21" w:rsidRDefault="00730A21" w:rsidP="00730A21">
      <w:pPr>
        <w:numPr>
          <w:ilvl w:val="0"/>
          <w:numId w:val="31"/>
        </w:numPr>
        <w:shd w:val="clear" w:color="auto" w:fill="FFFFFF"/>
        <w:spacing w:after="120"/>
        <w:ind w:left="360"/>
        <w:rPr>
          <w:sz w:val="22"/>
          <w:szCs w:val="22"/>
        </w:rPr>
      </w:pPr>
      <w:r>
        <w:rPr>
          <w:sz w:val="22"/>
          <w:szCs w:val="22"/>
        </w:rPr>
        <w:t>Just-in-time delivery of ethanol process feedstock biomass;</w:t>
      </w:r>
    </w:p>
    <w:p w:rsidR="00730A21" w:rsidRDefault="00730A21" w:rsidP="00730A21">
      <w:pPr>
        <w:numPr>
          <w:ilvl w:val="0"/>
          <w:numId w:val="31"/>
        </w:numPr>
        <w:shd w:val="clear" w:color="auto" w:fill="FFFFFF"/>
        <w:spacing w:after="120"/>
        <w:ind w:left="360"/>
        <w:rPr>
          <w:sz w:val="22"/>
          <w:szCs w:val="22"/>
        </w:rPr>
      </w:pPr>
      <w:r>
        <w:rPr>
          <w:sz w:val="22"/>
          <w:szCs w:val="22"/>
        </w:rPr>
        <w:t xml:space="preserve">Wet scrubbers to control water-soluble VOC from hydrolysis, fermentation and distillation steps; </w:t>
      </w:r>
    </w:p>
    <w:p w:rsidR="00730A21" w:rsidRDefault="00730A21" w:rsidP="00730A21">
      <w:pPr>
        <w:numPr>
          <w:ilvl w:val="0"/>
          <w:numId w:val="31"/>
        </w:numPr>
        <w:shd w:val="clear" w:color="auto" w:fill="FFFFFF"/>
        <w:spacing w:after="120"/>
        <w:ind w:left="360"/>
        <w:rPr>
          <w:sz w:val="22"/>
          <w:szCs w:val="22"/>
        </w:rPr>
      </w:pPr>
      <w:r>
        <w:rPr>
          <w:sz w:val="22"/>
          <w:szCs w:val="22"/>
        </w:rPr>
        <w:t xml:space="preserve">Floating roofs on product storage tanks; </w:t>
      </w:r>
    </w:p>
    <w:p w:rsidR="00730A21" w:rsidRDefault="00730A21" w:rsidP="00730A21">
      <w:pPr>
        <w:numPr>
          <w:ilvl w:val="0"/>
          <w:numId w:val="31"/>
        </w:numPr>
        <w:shd w:val="clear" w:color="auto" w:fill="FFFFFF"/>
        <w:spacing w:after="120"/>
        <w:ind w:left="360"/>
        <w:rPr>
          <w:sz w:val="22"/>
          <w:szCs w:val="22"/>
        </w:rPr>
      </w:pPr>
      <w:r>
        <w:rPr>
          <w:sz w:val="22"/>
          <w:szCs w:val="22"/>
        </w:rPr>
        <w:t xml:space="preserve">A Flare to control emissions from product load out; </w:t>
      </w:r>
    </w:p>
    <w:p w:rsidR="00730A21" w:rsidRDefault="00730A21" w:rsidP="00730A21">
      <w:pPr>
        <w:numPr>
          <w:ilvl w:val="0"/>
          <w:numId w:val="31"/>
        </w:numPr>
        <w:shd w:val="clear" w:color="auto" w:fill="FFFFFF"/>
        <w:spacing w:after="120"/>
        <w:ind w:left="360"/>
        <w:rPr>
          <w:sz w:val="22"/>
          <w:szCs w:val="22"/>
        </w:rPr>
      </w:pPr>
      <w:r>
        <w:rPr>
          <w:sz w:val="22"/>
          <w:szCs w:val="22"/>
        </w:rPr>
        <w:t xml:space="preserve">Maintaining only small storage piles of supplemental (wood chips, yard waste and harvest residue) to minimize odors; </w:t>
      </w:r>
    </w:p>
    <w:p w:rsidR="00730A21" w:rsidRDefault="00730A21" w:rsidP="00730A21">
      <w:pPr>
        <w:numPr>
          <w:ilvl w:val="0"/>
          <w:numId w:val="31"/>
        </w:numPr>
        <w:shd w:val="clear" w:color="auto" w:fill="FFFFFF"/>
        <w:spacing w:after="120"/>
        <w:ind w:left="360"/>
        <w:rPr>
          <w:sz w:val="22"/>
          <w:szCs w:val="22"/>
        </w:rPr>
      </w:pPr>
      <w:r>
        <w:rPr>
          <w:sz w:val="22"/>
          <w:szCs w:val="22"/>
        </w:rPr>
        <w:t>P</w:t>
      </w:r>
      <w:r w:rsidRPr="001549FC">
        <w:rPr>
          <w:sz w:val="22"/>
          <w:szCs w:val="22"/>
        </w:rPr>
        <w:t>rompt repair</w:t>
      </w:r>
      <w:r>
        <w:rPr>
          <w:sz w:val="22"/>
          <w:szCs w:val="22"/>
        </w:rPr>
        <w:t xml:space="preserve"> of </w:t>
      </w:r>
      <w:r w:rsidRPr="001549FC">
        <w:rPr>
          <w:sz w:val="22"/>
          <w:szCs w:val="22"/>
        </w:rPr>
        <w:t xml:space="preserve">any leaking components </w:t>
      </w:r>
      <w:r>
        <w:rPr>
          <w:sz w:val="22"/>
          <w:szCs w:val="22"/>
        </w:rPr>
        <w:t>(such as heat exchangers) within the cooling towers to minimize contamination of the water by and subsequent stripping of VOC to the atmosphere; and</w:t>
      </w:r>
    </w:p>
    <w:p w:rsidR="00730A21" w:rsidRDefault="00730A21" w:rsidP="00730A21">
      <w:pPr>
        <w:numPr>
          <w:ilvl w:val="0"/>
          <w:numId w:val="31"/>
        </w:numPr>
        <w:shd w:val="clear" w:color="auto" w:fill="FFFFFF"/>
        <w:spacing w:after="120"/>
        <w:ind w:left="360"/>
        <w:rPr>
          <w:sz w:val="22"/>
          <w:szCs w:val="22"/>
        </w:rPr>
      </w:pPr>
      <w:r>
        <w:rPr>
          <w:sz w:val="22"/>
          <w:szCs w:val="22"/>
        </w:rPr>
        <w:t>As per NSPS 40 CFR 60, Subpart VVa, HEF will implement a LDAR program to minimize VOC emissions from process equipment leaks.  This will address a significant portion of the odor potential.</w:t>
      </w:r>
    </w:p>
    <w:p w:rsidR="00730A21" w:rsidRPr="00730A21" w:rsidRDefault="00730A21" w:rsidP="00730A21">
      <w:pPr>
        <w:pStyle w:val="ListParagraph"/>
        <w:widowControl w:val="0"/>
        <w:numPr>
          <w:ilvl w:val="1"/>
          <w:numId w:val="15"/>
        </w:numPr>
        <w:spacing w:after="120"/>
        <w:ind w:left="450"/>
        <w:contextualSpacing w:val="0"/>
        <w:rPr>
          <w:b/>
          <w:sz w:val="22"/>
          <w:szCs w:val="22"/>
        </w:rPr>
      </w:pPr>
      <w:r w:rsidRPr="00730A21">
        <w:rPr>
          <w:b/>
          <w:sz w:val="22"/>
          <w:szCs w:val="22"/>
        </w:rPr>
        <w:t>Department’s Review</w:t>
      </w:r>
    </w:p>
    <w:p w:rsidR="00730A21" w:rsidRDefault="00730A21" w:rsidP="00730A21">
      <w:pPr>
        <w:shd w:val="clear" w:color="auto" w:fill="FFFFFF"/>
        <w:spacing w:after="120"/>
        <w:rPr>
          <w:color w:val="000000"/>
          <w:sz w:val="22"/>
          <w:szCs w:val="22"/>
        </w:rPr>
      </w:pPr>
      <w:r>
        <w:rPr>
          <w:color w:val="000000"/>
          <w:sz w:val="22"/>
          <w:szCs w:val="22"/>
        </w:rPr>
        <w:t xml:space="preserve">The Department agrees that the VOC control measures proposed by the applicant at HEF will reduce the generation potential for objectionable odors.  However it is important to reiterate that objectionable odors are actually </w:t>
      </w:r>
      <w:r w:rsidRPr="00DF48D7">
        <w:rPr>
          <w:i/>
          <w:color w:val="000000"/>
          <w:sz w:val="22"/>
          <w:szCs w:val="22"/>
        </w:rPr>
        <w:t>prohibited</w:t>
      </w:r>
      <w:r>
        <w:rPr>
          <w:color w:val="000000"/>
          <w:sz w:val="22"/>
          <w:szCs w:val="22"/>
        </w:rPr>
        <w:t>.  The relevant rule states:</w:t>
      </w:r>
    </w:p>
    <w:p w:rsidR="00730A21" w:rsidRDefault="00730A21" w:rsidP="00730A21">
      <w:pPr>
        <w:shd w:val="clear" w:color="auto" w:fill="FFFFFF"/>
        <w:spacing w:after="120"/>
        <w:rPr>
          <w:sz w:val="22"/>
          <w:szCs w:val="22"/>
        </w:rPr>
      </w:pPr>
      <w:r>
        <w:rPr>
          <w:i/>
          <w:sz w:val="22"/>
          <w:szCs w:val="22"/>
        </w:rPr>
        <w:t>“</w:t>
      </w:r>
      <w:r w:rsidRPr="00D54AFF">
        <w:rPr>
          <w:i/>
          <w:sz w:val="22"/>
          <w:szCs w:val="22"/>
        </w:rPr>
        <w:t xml:space="preserve">No person shall cause, suffer, allow or permit the discharge of air pollutants which cause or contribute to an objectionable odor.  An objectionable odor is defined in Rule 62-210.200(Definitions), F.A.C., as any odor present in the outdoor atmosphere which by itself or in combination with other odors, is or may be harmful or </w:t>
      </w:r>
      <w:r w:rsidRPr="00D54AFF">
        <w:rPr>
          <w:i/>
          <w:sz w:val="22"/>
          <w:szCs w:val="22"/>
        </w:rPr>
        <w:lastRenderedPageBreak/>
        <w:t>injurious to human health or welfare, which unreasonably interferes with the comfortable use and enjoyment of life or property, or which creates a nuisance.</w:t>
      </w:r>
      <w:r>
        <w:rPr>
          <w:i/>
          <w:sz w:val="22"/>
          <w:szCs w:val="22"/>
        </w:rPr>
        <w:t>”</w:t>
      </w:r>
      <w:r w:rsidRPr="00D54AFF">
        <w:rPr>
          <w:sz w:val="22"/>
          <w:szCs w:val="22"/>
        </w:rPr>
        <w:t xml:space="preserve"> </w:t>
      </w:r>
    </w:p>
    <w:p w:rsidR="00730A21" w:rsidRPr="00610F69" w:rsidRDefault="00730A21" w:rsidP="00730A21">
      <w:pPr>
        <w:shd w:val="clear" w:color="auto" w:fill="FFFFFF"/>
        <w:spacing w:after="120"/>
        <w:rPr>
          <w:sz w:val="22"/>
          <w:szCs w:val="22"/>
        </w:rPr>
      </w:pPr>
      <w:r>
        <w:rPr>
          <w:color w:val="000000"/>
          <w:sz w:val="22"/>
          <w:szCs w:val="22"/>
        </w:rPr>
        <w:t>The Department will require that HEF</w:t>
      </w:r>
      <w:r w:rsidRPr="000D0D17">
        <w:rPr>
          <w:sz w:val="22"/>
          <w:szCs w:val="22"/>
        </w:rPr>
        <w:t xml:space="preserve"> </w:t>
      </w:r>
      <w:r>
        <w:rPr>
          <w:sz w:val="22"/>
          <w:szCs w:val="22"/>
        </w:rPr>
        <w:t xml:space="preserve">shall submit an </w:t>
      </w:r>
      <w:r w:rsidRPr="000D0D17">
        <w:rPr>
          <w:sz w:val="22"/>
          <w:szCs w:val="22"/>
        </w:rPr>
        <w:t xml:space="preserve">odor control plan (OCP) </w:t>
      </w:r>
      <w:r>
        <w:rPr>
          <w:sz w:val="22"/>
          <w:szCs w:val="22"/>
        </w:rPr>
        <w:t xml:space="preserve">early in the design process that describes procedures to be implemented if objectionable odors occur.  The OCP must be submitted to the Compliance Authority no later than </w:t>
      </w:r>
      <w:r w:rsidRPr="00CF45B7">
        <w:rPr>
          <w:sz w:val="22"/>
          <w:szCs w:val="22"/>
        </w:rPr>
        <w:t xml:space="preserve">90 days prior to </w:t>
      </w:r>
      <w:r>
        <w:rPr>
          <w:sz w:val="22"/>
          <w:szCs w:val="22"/>
        </w:rPr>
        <w:t>HEF</w:t>
      </w:r>
      <w:r w:rsidRPr="00CF45B7">
        <w:rPr>
          <w:sz w:val="22"/>
          <w:szCs w:val="22"/>
        </w:rPr>
        <w:t xml:space="preserve"> commencing operation</w:t>
      </w:r>
      <w:r>
        <w:rPr>
          <w:sz w:val="22"/>
          <w:szCs w:val="22"/>
        </w:rPr>
        <w:t>.</w:t>
      </w:r>
    </w:p>
    <w:p w:rsidR="00730A21" w:rsidRDefault="00730A21" w:rsidP="00AF6F91">
      <w:pPr>
        <w:pStyle w:val="ListParagraph"/>
        <w:widowControl w:val="0"/>
        <w:numPr>
          <w:ilvl w:val="0"/>
          <w:numId w:val="15"/>
        </w:numPr>
        <w:spacing w:after="120"/>
        <w:ind w:left="720" w:hanging="720"/>
        <w:contextualSpacing w:val="0"/>
        <w:rPr>
          <w:b/>
          <w:caps/>
          <w:sz w:val="22"/>
          <w:szCs w:val="22"/>
        </w:rPr>
      </w:pPr>
      <w:r w:rsidRPr="00730A21">
        <w:rPr>
          <w:b/>
          <w:caps/>
          <w:sz w:val="22"/>
          <w:szCs w:val="22"/>
        </w:rPr>
        <w:t>BIOMASS</w:t>
      </w:r>
      <w:r w:rsidRPr="009F46F7">
        <w:rPr>
          <w:b/>
          <w:bCs/>
          <w:caps/>
          <w:sz w:val="22"/>
          <w:szCs w:val="22"/>
        </w:rPr>
        <w:t xml:space="preserve"> BOILER HEAT INPUT MONITORING</w:t>
      </w:r>
    </w:p>
    <w:p w:rsidR="00730A21" w:rsidRPr="00730A21" w:rsidRDefault="00730A21" w:rsidP="00730A21">
      <w:pPr>
        <w:widowControl w:val="0"/>
        <w:spacing w:after="120"/>
        <w:rPr>
          <w:b/>
          <w:caps/>
          <w:sz w:val="22"/>
          <w:szCs w:val="22"/>
        </w:rPr>
      </w:pPr>
      <w:r w:rsidRPr="00730A21">
        <w:rPr>
          <w:sz w:val="22"/>
          <w:szCs w:val="22"/>
        </w:rPr>
        <w:t>Monitoring of heat input is difficult when using biomass as fuel.  Sugarcane and sweet sorghum bagasse can have high moisture contents (50%) and boiler energy will be expended to evaporate that moisture thus reducing the boiler efficiency. </w:t>
      </w:r>
    </w:p>
    <w:p w:rsidR="00730A21" w:rsidRPr="00730A21" w:rsidRDefault="00730A21" w:rsidP="00730A21">
      <w:pPr>
        <w:spacing w:after="120"/>
        <w:rPr>
          <w:i/>
          <w:iCs/>
          <w:sz w:val="22"/>
          <w:szCs w:val="22"/>
        </w:rPr>
      </w:pPr>
      <w:r w:rsidRPr="00177EE6">
        <w:rPr>
          <w:sz w:val="22"/>
          <w:szCs w:val="22"/>
        </w:rPr>
        <w:t>To accura</w:t>
      </w:r>
      <w:r>
        <w:rPr>
          <w:sz w:val="22"/>
          <w:szCs w:val="22"/>
        </w:rPr>
        <w:t>tely calculate heat input, the Department will include in the permit a requirement to conduct a boiler thermal efficiency test in accordance with American Society of Mechanical Engineers (ASME) methods (refer to Appendix ASME of the draft permit).  The boiler heat input rate calculations must then be performed using ASME methods or those prov</w:t>
      </w:r>
      <w:r w:rsidR="00B86F0A">
        <w:rPr>
          <w:sz w:val="22"/>
          <w:szCs w:val="22"/>
        </w:rPr>
        <w:t>ided in 40 CFR 75, Appendix F.  (R</w:t>
      </w:r>
      <w:r>
        <w:rPr>
          <w:sz w:val="22"/>
          <w:szCs w:val="22"/>
        </w:rPr>
        <w:t>efer to</w:t>
      </w:r>
      <w:r w:rsidR="00B86F0A">
        <w:rPr>
          <w:sz w:val="22"/>
          <w:szCs w:val="22"/>
        </w:rPr>
        <w:t xml:space="preserve"> Appendix F of the draft permit.)</w:t>
      </w:r>
    </w:p>
    <w:p w:rsidR="007A792F" w:rsidRDefault="007A792F" w:rsidP="00AF6F91">
      <w:pPr>
        <w:pStyle w:val="ListParagraph"/>
        <w:widowControl w:val="0"/>
        <w:numPr>
          <w:ilvl w:val="0"/>
          <w:numId w:val="15"/>
        </w:numPr>
        <w:spacing w:after="120"/>
        <w:ind w:left="720" w:hanging="720"/>
        <w:contextualSpacing w:val="0"/>
        <w:rPr>
          <w:b/>
          <w:caps/>
          <w:sz w:val="22"/>
          <w:szCs w:val="22"/>
        </w:rPr>
      </w:pPr>
      <w:r>
        <w:rPr>
          <w:b/>
          <w:caps/>
          <w:sz w:val="22"/>
          <w:szCs w:val="22"/>
        </w:rPr>
        <w:t>air quality analysis</w:t>
      </w:r>
    </w:p>
    <w:p w:rsidR="007A792F" w:rsidRDefault="007A792F" w:rsidP="007A792F">
      <w:pPr>
        <w:spacing w:after="120"/>
        <w:rPr>
          <w:sz w:val="22"/>
          <w:szCs w:val="22"/>
        </w:rPr>
      </w:pPr>
      <w:r w:rsidRPr="005C5E68">
        <w:rPr>
          <w:sz w:val="22"/>
          <w:szCs w:val="22"/>
        </w:rPr>
        <w:t>As a part of this review, Rules 62-212.400(7) and 62-212.400(5), F.A.C., require the applicant to perform a current air quality analysis and a source impact analysis and for each PSD applicable pollutant.</w:t>
      </w:r>
    </w:p>
    <w:p w:rsidR="00E0450A" w:rsidRDefault="0046637C" w:rsidP="007A792F">
      <w:pPr>
        <w:spacing w:after="120"/>
        <w:rPr>
          <w:sz w:val="22"/>
          <w:szCs w:val="22"/>
        </w:rPr>
      </w:pPr>
      <w:r w:rsidRPr="0046637C">
        <w:rPr>
          <w:sz w:val="22"/>
          <w:szCs w:val="22"/>
        </w:rPr>
        <w:t>The original PSD air construction permit application for this project was approved in September 2011. On March 17, 2017, the applicant applied for an extension of the original permit. During the review process, it was determined that the original permit application did not include estimates of condensable PM as is now required. Therefore, a new PSD application was required for the increase in future potential emissions of PM, PM</w:t>
      </w:r>
      <w:r w:rsidRPr="0046637C">
        <w:rPr>
          <w:sz w:val="22"/>
          <w:szCs w:val="22"/>
          <w:vertAlign w:val="subscript"/>
        </w:rPr>
        <w:t>10</w:t>
      </w:r>
      <w:r w:rsidRPr="0046637C">
        <w:rPr>
          <w:sz w:val="22"/>
          <w:szCs w:val="22"/>
        </w:rPr>
        <w:t>, and PM</w:t>
      </w:r>
      <w:r w:rsidRPr="0046637C">
        <w:rPr>
          <w:sz w:val="22"/>
          <w:szCs w:val="22"/>
          <w:vertAlign w:val="subscript"/>
        </w:rPr>
        <w:t>2.5</w:t>
      </w:r>
      <w:r w:rsidRPr="0046637C">
        <w:rPr>
          <w:sz w:val="22"/>
          <w:szCs w:val="22"/>
        </w:rPr>
        <w:t xml:space="preserve"> above the PSD-applicability thresholds. No other estimated project emissions have changed. The new PSD permit application, submitted May 19, 2017, analyzes the project’s estimated future potential emissions of PM, PM</w:t>
      </w:r>
      <w:r w:rsidRPr="0046637C">
        <w:rPr>
          <w:sz w:val="22"/>
          <w:szCs w:val="22"/>
          <w:vertAlign w:val="subscript"/>
        </w:rPr>
        <w:t>10</w:t>
      </w:r>
      <w:r w:rsidRPr="0046637C">
        <w:rPr>
          <w:sz w:val="22"/>
          <w:szCs w:val="22"/>
        </w:rPr>
        <w:t>, and PM</w:t>
      </w:r>
      <w:r w:rsidRPr="0046637C">
        <w:rPr>
          <w:sz w:val="22"/>
          <w:szCs w:val="22"/>
          <w:vertAlign w:val="subscript"/>
        </w:rPr>
        <w:t>2.5</w:t>
      </w:r>
      <w:r w:rsidR="00475AE0">
        <w:rPr>
          <w:sz w:val="22"/>
          <w:szCs w:val="22"/>
        </w:rPr>
        <w:t>.  These emission rates are based on the worst-case operating scenario for each pollutant,</w:t>
      </w:r>
      <w:r w:rsidRPr="0046637C">
        <w:rPr>
          <w:sz w:val="22"/>
          <w:szCs w:val="22"/>
        </w:rPr>
        <w:t xml:space="preserve"> which exceed the applicable PSD significant emission rates (SER)</w:t>
      </w:r>
      <w:r w:rsidR="00475AE0">
        <w:rPr>
          <w:sz w:val="22"/>
          <w:szCs w:val="22"/>
        </w:rPr>
        <w:t xml:space="preserve"> and are subject to review.</w:t>
      </w:r>
    </w:p>
    <w:p w:rsidR="00A03FBF" w:rsidRDefault="00A03FBF" w:rsidP="007A792F">
      <w:pPr>
        <w:spacing w:after="120"/>
        <w:rPr>
          <w:sz w:val="22"/>
          <w:szCs w:val="22"/>
        </w:rPr>
      </w:pPr>
      <w:r w:rsidRPr="00AD7B43">
        <w:rPr>
          <w:sz w:val="22"/>
          <w:szCs w:val="22"/>
        </w:rPr>
        <w:t>For NO</w:t>
      </w:r>
      <w:r w:rsidRPr="00AD7B43">
        <w:rPr>
          <w:sz w:val="22"/>
          <w:szCs w:val="22"/>
          <w:vertAlign w:val="subscript"/>
        </w:rPr>
        <w:t>2</w:t>
      </w:r>
      <w:r w:rsidRPr="00AD7B43">
        <w:rPr>
          <w:sz w:val="22"/>
          <w:szCs w:val="22"/>
        </w:rPr>
        <w:t>, SO</w:t>
      </w:r>
      <w:r w:rsidRPr="00AD7B43">
        <w:rPr>
          <w:sz w:val="22"/>
          <w:szCs w:val="22"/>
          <w:vertAlign w:val="subscript"/>
        </w:rPr>
        <w:t>2</w:t>
      </w:r>
      <w:r w:rsidRPr="00AD7B43">
        <w:rPr>
          <w:sz w:val="22"/>
          <w:szCs w:val="22"/>
        </w:rPr>
        <w:t xml:space="preserve">, </w:t>
      </w:r>
      <w:r w:rsidR="00E0450A" w:rsidRPr="00AD7B43">
        <w:rPr>
          <w:sz w:val="22"/>
          <w:szCs w:val="22"/>
        </w:rPr>
        <w:t xml:space="preserve">and </w:t>
      </w:r>
      <w:r w:rsidRPr="00AD7B43">
        <w:rPr>
          <w:sz w:val="22"/>
          <w:szCs w:val="22"/>
        </w:rPr>
        <w:t>CO, the Department accepts the ambient analysis as described in the original technical evaluation</w:t>
      </w:r>
      <w:r w:rsidRPr="00AD7B43">
        <w:rPr>
          <w:rStyle w:val="FootnoteReference"/>
          <w:sz w:val="22"/>
          <w:szCs w:val="22"/>
        </w:rPr>
        <w:footnoteReference w:id="10"/>
      </w:r>
      <w:r w:rsidRPr="00AD7B43">
        <w:rPr>
          <w:sz w:val="22"/>
          <w:szCs w:val="22"/>
        </w:rPr>
        <w:t xml:space="preserve"> for this project, from 2011.  This analysis showed </w:t>
      </w:r>
      <w:r w:rsidR="00025B89" w:rsidRPr="00AD7B43">
        <w:rPr>
          <w:sz w:val="22"/>
          <w:szCs w:val="22"/>
        </w:rPr>
        <w:t xml:space="preserve">no exceedances of any ambient air quality standards or available PSD </w:t>
      </w:r>
      <w:r w:rsidR="00E0450A" w:rsidRPr="00AD7B43">
        <w:rPr>
          <w:sz w:val="22"/>
          <w:szCs w:val="22"/>
        </w:rPr>
        <w:t>increments.  However, since the original evaluation, the National Ambient Air Quality Standard (NAAQS)</w:t>
      </w:r>
      <w:r w:rsidR="009E79DE" w:rsidRPr="00AD7B43">
        <w:rPr>
          <w:sz w:val="22"/>
          <w:szCs w:val="22"/>
        </w:rPr>
        <w:t xml:space="preserve"> for ozone has been </w:t>
      </w:r>
      <w:r w:rsidR="000A7460" w:rsidRPr="00AD7B43">
        <w:rPr>
          <w:sz w:val="22"/>
          <w:szCs w:val="22"/>
        </w:rPr>
        <w:t>decreas</w:t>
      </w:r>
      <w:r w:rsidR="009E79DE" w:rsidRPr="00AD7B43">
        <w:rPr>
          <w:sz w:val="22"/>
          <w:szCs w:val="22"/>
        </w:rPr>
        <w:t>ed</w:t>
      </w:r>
      <w:r w:rsidR="00E0450A" w:rsidRPr="00AD7B43">
        <w:rPr>
          <w:sz w:val="22"/>
          <w:szCs w:val="22"/>
        </w:rPr>
        <w:t>; the evaluation below now accounts for the current NAAQS for ozone.</w:t>
      </w:r>
    </w:p>
    <w:p w:rsidR="007A792F" w:rsidRDefault="007A792F" w:rsidP="007A792F">
      <w:pPr>
        <w:pStyle w:val="ListParagraph"/>
        <w:widowControl w:val="0"/>
        <w:numPr>
          <w:ilvl w:val="1"/>
          <w:numId w:val="15"/>
        </w:numPr>
        <w:spacing w:before="120" w:after="120"/>
        <w:ind w:left="720" w:hanging="720"/>
        <w:contextualSpacing w:val="0"/>
        <w:rPr>
          <w:b/>
          <w:sz w:val="22"/>
          <w:szCs w:val="22"/>
        </w:rPr>
      </w:pPr>
      <w:r>
        <w:rPr>
          <w:b/>
          <w:sz w:val="22"/>
          <w:szCs w:val="22"/>
        </w:rPr>
        <w:t>Current Air Quality Analysis</w:t>
      </w:r>
    </w:p>
    <w:p w:rsidR="007A792F" w:rsidRPr="00155062" w:rsidRDefault="007A792F" w:rsidP="00A91862">
      <w:pPr>
        <w:pStyle w:val="ListParagraph"/>
        <w:widowControl w:val="0"/>
        <w:numPr>
          <w:ilvl w:val="2"/>
          <w:numId w:val="15"/>
        </w:numPr>
        <w:spacing w:before="120" w:after="120"/>
        <w:ind w:left="720" w:hanging="720"/>
        <w:jc w:val="both"/>
        <w:rPr>
          <w:sz w:val="22"/>
          <w:szCs w:val="22"/>
          <w:u w:val="single"/>
        </w:rPr>
      </w:pPr>
      <w:r w:rsidRPr="00155062">
        <w:rPr>
          <w:sz w:val="22"/>
          <w:szCs w:val="22"/>
          <w:u w:val="single"/>
        </w:rPr>
        <w:t>State Level</w:t>
      </w:r>
    </w:p>
    <w:p w:rsidR="007A792F" w:rsidRDefault="007A792F" w:rsidP="007A792F">
      <w:pPr>
        <w:spacing w:after="120"/>
        <w:rPr>
          <w:sz w:val="22"/>
          <w:szCs w:val="22"/>
        </w:rPr>
      </w:pPr>
      <w:r w:rsidRPr="005C5E68">
        <w:rPr>
          <w:sz w:val="22"/>
          <w:szCs w:val="22"/>
        </w:rPr>
        <w:t xml:space="preserve">The State of Florida has generally good ambient air quality and is currently in attainment of all </w:t>
      </w:r>
      <w:r w:rsidR="00E0450A">
        <w:rPr>
          <w:sz w:val="22"/>
          <w:szCs w:val="22"/>
        </w:rPr>
        <w:t>NAAQS</w:t>
      </w:r>
      <w:r w:rsidRPr="005C5E68">
        <w:rPr>
          <w:sz w:val="22"/>
          <w:szCs w:val="22"/>
        </w:rPr>
        <w:t xml:space="preserve"> </w:t>
      </w:r>
      <w:proofErr w:type="gramStart"/>
      <w:r w:rsidRPr="005C5E68">
        <w:rPr>
          <w:sz w:val="22"/>
          <w:szCs w:val="22"/>
        </w:rPr>
        <w:t>in the vicinity of</w:t>
      </w:r>
      <w:proofErr w:type="gramEnd"/>
      <w:r w:rsidRPr="005C5E68">
        <w:rPr>
          <w:sz w:val="22"/>
          <w:szCs w:val="22"/>
        </w:rPr>
        <w:t xml:space="preserve"> this project.  As can be seen </w:t>
      </w:r>
      <w:r>
        <w:rPr>
          <w:sz w:val="22"/>
          <w:szCs w:val="22"/>
        </w:rPr>
        <w:t xml:space="preserve">in </w:t>
      </w:r>
      <w:r w:rsidRPr="0024572D">
        <w:rPr>
          <w:b/>
          <w:sz w:val="22"/>
          <w:szCs w:val="22"/>
        </w:rPr>
        <w:fldChar w:fldCharType="begin"/>
      </w:r>
      <w:r w:rsidRPr="0024572D">
        <w:rPr>
          <w:b/>
          <w:sz w:val="22"/>
          <w:szCs w:val="22"/>
        </w:rPr>
        <w:instrText xml:space="preserve"> REF _Ref485728406 \h  \* MERGEFORMAT </w:instrText>
      </w:r>
      <w:r w:rsidRPr="0024572D">
        <w:rPr>
          <w:b/>
          <w:sz w:val="22"/>
          <w:szCs w:val="22"/>
        </w:rPr>
      </w:r>
      <w:r w:rsidRPr="0024572D">
        <w:rPr>
          <w:b/>
          <w:sz w:val="22"/>
          <w:szCs w:val="22"/>
        </w:rPr>
        <w:fldChar w:fldCharType="separate"/>
      </w:r>
      <w:r w:rsidR="005A4C55" w:rsidRPr="005A4C55">
        <w:rPr>
          <w:b/>
          <w:sz w:val="22"/>
          <w:szCs w:val="22"/>
        </w:rPr>
        <w:t xml:space="preserve">Figure </w:t>
      </w:r>
      <w:r w:rsidR="005A4C55" w:rsidRPr="005A4C55">
        <w:rPr>
          <w:b/>
          <w:noProof/>
          <w:sz w:val="22"/>
          <w:szCs w:val="22"/>
        </w:rPr>
        <w:t>9</w:t>
      </w:r>
      <w:r w:rsidRPr="0024572D">
        <w:rPr>
          <w:b/>
          <w:sz w:val="22"/>
          <w:szCs w:val="22"/>
        </w:rPr>
        <w:fldChar w:fldCharType="end"/>
      </w:r>
      <w:r>
        <w:rPr>
          <w:sz w:val="22"/>
          <w:szCs w:val="22"/>
        </w:rPr>
        <w:t>, Fl</w:t>
      </w:r>
      <w:r w:rsidRPr="005C5E68">
        <w:rPr>
          <w:sz w:val="22"/>
          <w:szCs w:val="22"/>
        </w:rPr>
        <w:t xml:space="preserve">orida’s air monitor design values are well within attainment of the NAAQS for </w:t>
      </w:r>
      <w:r>
        <w:rPr>
          <w:sz w:val="22"/>
          <w:szCs w:val="22"/>
        </w:rPr>
        <w:t>PM</w:t>
      </w:r>
      <w:r w:rsidRPr="003447F5">
        <w:rPr>
          <w:sz w:val="22"/>
          <w:szCs w:val="22"/>
          <w:vertAlign w:val="subscript"/>
        </w:rPr>
        <w:t>10</w:t>
      </w:r>
      <w:r>
        <w:rPr>
          <w:sz w:val="22"/>
          <w:szCs w:val="22"/>
        </w:rPr>
        <w:t xml:space="preserve"> and PM</w:t>
      </w:r>
      <w:r w:rsidRPr="003447F5">
        <w:rPr>
          <w:sz w:val="22"/>
          <w:szCs w:val="22"/>
          <w:vertAlign w:val="subscript"/>
        </w:rPr>
        <w:t>2.5</w:t>
      </w:r>
      <w:r w:rsidRPr="005C5E68">
        <w:rPr>
          <w:sz w:val="22"/>
          <w:szCs w:val="22"/>
        </w:rPr>
        <w:t xml:space="preserve">.  In addition, air pollutant emissions have seen a significant decrease in the past fifteen years </w:t>
      </w:r>
      <w:r>
        <w:rPr>
          <w:sz w:val="22"/>
          <w:szCs w:val="22"/>
        </w:rPr>
        <w:t>(</w:t>
      </w:r>
      <w:r w:rsidRPr="0024572D">
        <w:rPr>
          <w:b/>
          <w:sz w:val="22"/>
          <w:szCs w:val="22"/>
        </w:rPr>
        <w:fldChar w:fldCharType="begin"/>
      </w:r>
      <w:r w:rsidRPr="0024572D">
        <w:rPr>
          <w:b/>
          <w:sz w:val="22"/>
          <w:szCs w:val="22"/>
        </w:rPr>
        <w:instrText xml:space="preserve"> REF _Ref485728489 \h </w:instrText>
      </w:r>
      <w:r>
        <w:rPr>
          <w:b/>
          <w:sz w:val="22"/>
          <w:szCs w:val="22"/>
        </w:rPr>
        <w:instrText xml:space="preserve"> \* MERGEFORMAT </w:instrText>
      </w:r>
      <w:r w:rsidRPr="0024572D">
        <w:rPr>
          <w:b/>
          <w:sz w:val="22"/>
          <w:szCs w:val="22"/>
        </w:rPr>
      </w:r>
      <w:r w:rsidRPr="0024572D">
        <w:rPr>
          <w:b/>
          <w:sz w:val="22"/>
          <w:szCs w:val="22"/>
        </w:rPr>
        <w:fldChar w:fldCharType="separate"/>
      </w:r>
      <w:r w:rsidR="005A4C55" w:rsidRPr="005A4C55">
        <w:rPr>
          <w:b/>
          <w:sz w:val="22"/>
          <w:szCs w:val="22"/>
        </w:rPr>
        <w:t>Figure 10</w:t>
      </w:r>
      <w:r w:rsidRPr="0024572D">
        <w:rPr>
          <w:b/>
          <w:sz w:val="22"/>
          <w:szCs w:val="22"/>
        </w:rPr>
        <w:fldChar w:fldCharType="end"/>
      </w:r>
      <w:r w:rsidRPr="0024572D">
        <w:rPr>
          <w:sz w:val="22"/>
          <w:szCs w:val="22"/>
        </w:rPr>
        <w:t>)</w:t>
      </w:r>
      <w:r>
        <w:rPr>
          <w:sz w:val="22"/>
          <w:szCs w:val="22"/>
        </w:rPr>
        <w:t xml:space="preserve">.  </w:t>
      </w:r>
      <w:r w:rsidRPr="000E3CDC">
        <w:rPr>
          <w:sz w:val="22"/>
          <w:szCs w:val="22"/>
        </w:rPr>
        <w:t>Statewide</w:t>
      </w:r>
      <w:r>
        <w:rPr>
          <w:sz w:val="22"/>
          <w:szCs w:val="22"/>
        </w:rPr>
        <w:t xml:space="preserve"> actual annual emissions from stationary sources of PM</w:t>
      </w:r>
      <w:r w:rsidRPr="000847ED">
        <w:rPr>
          <w:sz w:val="22"/>
          <w:szCs w:val="22"/>
        </w:rPr>
        <w:t xml:space="preserve"> </w:t>
      </w:r>
      <w:r>
        <w:rPr>
          <w:sz w:val="22"/>
          <w:szCs w:val="22"/>
        </w:rPr>
        <w:t xml:space="preserve">have decreased 66% since 2000.  These emission decreases have occurred in spite of the increase in the </w:t>
      </w:r>
      <w:r w:rsidRPr="000847ED">
        <w:rPr>
          <w:sz w:val="22"/>
          <w:szCs w:val="22"/>
        </w:rPr>
        <w:t xml:space="preserve">population of Florida </w:t>
      </w:r>
      <w:r>
        <w:rPr>
          <w:sz w:val="22"/>
          <w:szCs w:val="22"/>
        </w:rPr>
        <w:t xml:space="preserve">of </w:t>
      </w:r>
      <w:r w:rsidRPr="000847ED">
        <w:rPr>
          <w:sz w:val="22"/>
          <w:szCs w:val="22"/>
        </w:rPr>
        <w:t xml:space="preserve">over </w:t>
      </w:r>
      <w:r>
        <w:rPr>
          <w:sz w:val="22"/>
          <w:szCs w:val="22"/>
        </w:rPr>
        <w:t>four</w:t>
      </w:r>
      <w:r w:rsidRPr="000847ED">
        <w:rPr>
          <w:sz w:val="22"/>
          <w:szCs w:val="22"/>
        </w:rPr>
        <w:t xml:space="preserve"> million, or nearly </w:t>
      </w:r>
      <w:r>
        <w:rPr>
          <w:sz w:val="22"/>
          <w:szCs w:val="22"/>
        </w:rPr>
        <w:t>27</w:t>
      </w:r>
      <w:r w:rsidRPr="000847ED">
        <w:rPr>
          <w:sz w:val="22"/>
          <w:szCs w:val="22"/>
        </w:rPr>
        <w:t>%, through the same period</w:t>
      </w:r>
      <w:r>
        <w:rPr>
          <w:sz w:val="22"/>
          <w:szCs w:val="22"/>
        </w:rPr>
        <w:t xml:space="preserve">. </w:t>
      </w:r>
      <w:r w:rsidRPr="000847ED">
        <w:rPr>
          <w:sz w:val="22"/>
          <w:szCs w:val="22"/>
        </w:rPr>
        <w:t xml:space="preserve">A variety of national rules that are currently being implemented are expected to </w:t>
      </w:r>
      <w:r>
        <w:rPr>
          <w:sz w:val="22"/>
          <w:szCs w:val="22"/>
        </w:rPr>
        <w:t xml:space="preserve">maintain these lower levels or even reduce them further </w:t>
      </w:r>
      <w:r w:rsidRPr="000847ED">
        <w:rPr>
          <w:sz w:val="22"/>
          <w:szCs w:val="22"/>
        </w:rPr>
        <w:t>in the foreseeable future.</w:t>
      </w:r>
    </w:p>
    <w:p w:rsidR="007A792F" w:rsidRDefault="007A792F" w:rsidP="00A91862">
      <w:pPr>
        <w:spacing w:after="120"/>
        <w:jc w:val="center"/>
        <w:rPr>
          <w:sz w:val="22"/>
          <w:szCs w:val="22"/>
        </w:rPr>
      </w:pPr>
      <w:r>
        <w:rPr>
          <w:noProof/>
          <w:sz w:val="22"/>
          <w:szCs w:val="22"/>
        </w:rPr>
        <w:lastRenderedPageBreak/>
        <w:drawing>
          <wp:inline distT="0" distB="0" distL="0" distR="0" wp14:anchorId="06B9E88C" wp14:editId="251AE840">
            <wp:extent cx="4705350" cy="3636038"/>
            <wp:effectExtent l="0" t="0" r="0" b="254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15 PM10 Design Values.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705350" cy="3636038"/>
                    </a:xfrm>
                    <a:prstGeom prst="rect">
                      <a:avLst/>
                    </a:prstGeom>
                  </pic:spPr>
                </pic:pic>
              </a:graphicData>
            </a:graphic>
          </wp:inline>
        </w:drawing>
      </w:r>
    </w:p>
    <w:p w:rsidR="007A792F" w:rsidRDefault="007A792F" w:rsidP="007A792F">
      <w:pPr>
        <w:keepNext/>
        <w:spacing w:after="120"/>
        <w:jc w:val="center"/>
      </w:pPr>
      <w:r>
        <w:rPr>
          <w:noProof/>
          <w:sz w:val="22"/>
          <w:szCs w:val="22"/>
        </w:rPr>
        <w:drawing>
          <wp:inline distT="0" distB="0" distL="0" distR="0" wp14:anchorId="144CAB3B" wp14:editId="5C51B0F4">
            <wp:extent cx="4695825" cy="3628679"/>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5 PM25 Design Values.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696968" cy="3629562"/>
                    </a:xfrm>
                    <a:prstGeom prst="rect">
                      <a:avLst/>
                    </a:prstGeom>
                  </pic:spPr>
                </pic:pic>
              </a:graphicData>
            </a:graphic>
          </wp:inline>
        </w:drawing>
      </w:r>
    </w:p>
    <w:p w:rsidR="007A792F" w:rsidRPr="002C2F8A" w:rsidRDefault="007A792F" w:rsidP="00D87101">
      <w:pPr>
        <w:pStyle w:val="Caption"/>
        <w:spacing w:before="120"/>
        <w:jc w:val="center"/>
        <w:rPr>
          <w:szCs w:val="22"/>
        </w:rPr>
      </w:pPr>
      <w:bookmarkStart w:id="19" w:name="_Ref485728406"/>
      <w:r>
        <w:rPr>
          <w:caps w:val="0"/>
        </w:rPr>
        <w:t xml:space="preserve">Figure </w:t>
      </w:r>
      <w:fldSimple w:instr=" SEQ Figure \* ARABIC ">
        <w:r w:rsidR="005A4C55">
          <w:rPr>
            <w:noProof/>
          </w:rPr>
          <w:t>9</w:t>
        </w:r>
      </w:fldSimple>
      <w:bookmarkEnd w:id="19"/>
      <w:r>
        <w:t xml:space="preserve">. </w:t>
      </w:r>
      <w:r w:rsidRPr="00C44F87">
        <w:rPr>
          <w:caps w:val="0"/>
        </w:rPr>
        <w:t xml:space="preserve">Florida ambient air monitoring network design values for 2013-2015 for </w:t>
      </w:r>
      <w:r>
        <w:rPr>
          <w:caps w:val="0"/>
        </w:rPr>
        <w:t>PM</w:t>
      </w:r>
      <w:r w:rsidRPr="0024572D">
        <w:rPr>
          <w:caps w:val="0"/>
          <w:vertAlign w:val="subscript"/>
        </w:rPr>
        <w:t>10</w:t>
      </w:r>
      <w:r w:rsidRPr="00C44F87">
        <w:rPr>
          <w:caps w:val="0"/>
        </w:rPr>
        <w:t xml:space="preserve"> and </w:t>
      </w:r>
      <w:r>
        <w:rPr>
          <w:caps w:val="0"/>
        </w:rPr>
        <w:t>PM</w:t>
      </w:r>
      <w:r w:rsidRPr="0024572D">
        <w:rPr>
          <w:caps w:val="0"/>
          <w:vertAlign w:val="subscript"/>
        </w:rPr>
        <w:t>2.5</w:t>
      </w:r>
      <w:r w:rsidRPr="00C44F87">
        <w:rPr>
          <w:caps w:val="0"/>
        </w:rPr>
        <w:t>.  P</w:t>
      </w:r>
      <w:r>
        <w:rPr>
          <w:caps w:val="0"/>
        </w:rPr>
        <w:t>M</w:t>
      </w:r>
      <w:r w:rsidRPr="0024572D">
        <w:rPr>
          <w:caps w:val="0"/>
          <w:vertAlign w:val="subscript"/>
        </w:rPr>
        <w:t>10</w:t>
      </w:r>
      <w:r w:rsidRPr="00C44F87">
        <w:rPr>
          <w:caps w:val="0"/>
        </w:rPr>
        <w:t xml:space="preserve"> design values are based on expected exceedances</w:t>
      </w:r>
      <w:r w:rsidRPr="00C44F87">
        <w:t>.</w:t>
      </w:r>
    </w:p>
    <w:p w:rsidR="007A792F" w:rsidRDefault="007A792F" w:rsidP="00963859">
      <w:pPr>
        <w:spacing w:after="120"/>
        <w:jc w:val="center"/>
      </w:pPr>
      <w:r>
        <w:rPr>
          <w:b/>
          <w:noProof/>
          <w:sz w:val="22"/>
          <w:szCs w:val="22"/>
        </w:rPr>
        <w:lastRenderedPageBreak/>
        <w:drawing>
          <wp:inline distT="0" distB="0" distL="0" distR="0" wp14:anchorId="44FE5529" wp14:editId="6C15DB89">
            <wp:extent cx="5934075" cy="368003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9233" cy="3689436"/>
                    </a:xfrm>
                    <a:prstGeom prst="rect">
                      <a:avLst/>
                    </a:prstGeom>
                    <a:noFill/>
                  </pic:spPr>
                </pic:pic>
              </a:graphicData>
            </a:graphic>
          </wp:inline>
        </w:drawing>
      </w:r>
    </w:p>
    <w:p w:rsidR="007A792F" w:rsidRDefault="007A792F" w:rsidP="00D87101">
      <w:pPr>
        <w:pStyle w:val="Caption"/>
        <w:spacing w:before="120"/>
        <w:jc w:val="center"/>
        <w:rPr>
          <w:b w:val="0"/>
          <w:szCs w:val="22"/>
        </w:rPr>
      </w:pPr>
      <w:bookmarkStart w:id="20" w:name="_Ref485728489"/>
      <w:r>
        <w:rPr>
          <w:caps w:val="0"/>
        </w:rPr>
        <w:t xml:space="preserve">Figure </w:t>
      </w:r>
      <w:fldSimple w:instr=" SEQ Figure \* ARABIC ">
        <w:r w:rsidR="005A4C55">
          <w:rPr>
            <w:noProof/>
          </w:rPr>
          <w:t>10</w:t>
        </w:r>
      </w:fldSimple>
      <w:bookmarkEnd w:id="20"/>
      <w:r>
        <w:t xml:space="preserve">. </w:t>
      </w:r>
      <w:r w:rsidRPr="00FE16EE">
        <w:rPr>
          <w:caps w:val="0"/>
        </w:rPr>
        <w:t xml:space="preserve">Actual annual emissions of </w:t>
      </w:r>
      <w:r>
        <w:rPr>
          <w:caps w:val="0"/>
        </w:rPr>
        <w:t>PM</w:t>
      </w:r>
      <w:r w:rsidRPr="00FE16EE">
        <w:rPr>
          <w:caps w:val="0"/>
        </w:rPr>
        <w:t xml:space="preserve"> in </w:t>
      </w:r>
      <w:r>
        <w:rPr>
          <w:caps w:val="0"/>
        </w:rPr>
        <w:t>F</w:t>
      </w:r>
      <w:r w:rsidRPr="00FE16EE">
        <w:rPr>
          <w:caps w:val="0"/>
        </w:rPr>
        <w:t>lorida from 2000 to 2015.</w:t>
      </w:r>
    </w:p>
    <w:p w:rsidR="007A792F" w:rsidRPr="00155062" w:rsidRDefault="007A792F" w:rsidP="00963859">
      <w:pPr>
        <w:pStyle w:val="ListParagraph"/>
        <w:widowControl w:val="0"/>
        <w:numPr>
          <w:ilvl w:val="2"/>
          <w:numId w:val="15"/>
        </w:numPr>
        <w:spacing w:after="120"/>
        <w:ind w:left="720" w:hanging="720"/>
        <w:jc w:val="both"/>
        <w:rPr>
          <w:sz w:val="22"/>
          <w:szCs w:val="22"/>
          <w:u w:val="single"/>
        </w:rPr>
      </w:pPr>
      <w:r w:rsidRPr="00155062">
        <w:rPr>
          <w:sz w:val="22"/>
          <w:szCs w:val="22"/>
          <w:u w:val="single"/>
        </w:rPr>
        <w:t>County Level</w:t>
      </w:r>
    </w:p>
    <w:p w:rsidR="007A792F" w:rsidRDefault="007A792F" w:rsidP="00963859">
      <w:pPr>
        <w:widowControl w:val="0"/>
        <w:spacing w:after="120"/>
        <w:rPr>
          <w:sz w:val="22"/>
          <w:szCs w:val="22"/>
        </w:rPr>
      </w:pPr>
      <w:r>
        <w:rPr>
          <w:sz w:val="22"/>
          <w:szCs w:val="22"/>
        </w:rPr>
        <w:t xml:space="preserve">Highlands County, 2016 population of 100,917, is a rural area, especially near the project site.  The nearest city to the project site is Lake Placid, located 10 km N with a population of approximately 3,000.  The largest cities in the county, Sebring and Avon Park, are located over 30 km N of the project site with populations of approximately 10,000 each.  </w:t>
      </w:r>
      <w:r w:rsidRPr="0024572D">
        <w:rPr>
          <w:b/>
          <w:sz w:val="22"/>
          <w:szCs w:val="22"/>
        </w:rPr>
        <w:fldChar w:fldCharType="begin"/>
      </w:r>
      <w:r w:rsidRPr="0024572D">
        <w:rPr>
          <w:b/>
          <w:sz w:val="22"/>
          <w:szCs w:val="22"/>
        </w:rPr>
        <w:instrText xml:space="preserve"> REF _Ref485728578 \h  \* MERGEFORMAT </w:instrText>
      </w:r>
      <w:r w:rsidRPr="0024572D">
        <w:rPr>
          <w:b/>
          <w:sz w:val="22"/>
          <w:szCs w:val="22"/>
        </w:rPr>
      </w:r>
      <w:r w:rsidRPr="0024572D">
        <w:rPr>
          <w:b/>
          <w:sz w:val="22"/>
          <w:szCs w:val="22"/>
        </w:rPr>
        <w:fldChar w:fldCharType="separate"/>
      </w:r>
      <w:r w:rsidR="005A4C55" w:rsidRPr="005A4C55">
        <w:rPr>
          <w:b/>
          <w:sz w:val="22"/>
          <w:szCs w:val="22"/>
        </w:rPr>
        <w:t xml:space="preserve">Table </w:t>
      </w:r>
      <w:r w:rsidR="005A4C55" w:rsidRPr="005A4C55">
        <w:rPr>
          <w:b/>
          <w:noProof/>
          <w:sz w:val="22"/>
          <w:szCs w:val="22"/>
        </w:rPr>
        <w:t>4</w:t>
      </w:r>
      <w:r w:rsidRPr="0024572D">
        <w:rPr>
          <w:b/>
          <w:sz w:val="22"/>
          <w:szCs w:val="22"/>
        </w:rPr>
        <w:fldChar w:fldCharType="end"/>
      </w:r>
      <w:r w:rsidRPr="0024572D">
        <w:rPr>
          <w:b/>
          <w:sz w:val="22"/>
          <w:szCs w:val="22"/>
        </w:rPr>
        <w:t xml:space="preserve"> </w:t>
      </w:r>
      <w:r>
        <w:rPr>
          <w:sz w:val="22"/>
          <w:szCs w:val="22"/>
        </w:rPr>
        <w:t>includes emissions of PM from stationary sources in Highlands County in 2006 and 2015.  PM emissions in the county have decreased significantly, even more than the trend in statewide stationary source emissions.</w:t>
      </w:r>
    </w:p>
    <w:p w:rsidR="007A792F" w:rsidRDefault="007A792F" w:rsidP="00963859">
      <w:pPr>
        <w:pStyle w:val="Caption"/>
        <w:spacing w:before="120"/>
        <w:jc w:val="center"/>
      </w:pPr>
      <w:bookmarkStart w:id="21" w:name="_Ref485728578"/>
      <w:r>
        <w:t xml:space="preserve">Table </w:t>
      </w:r>
      <w:fldSimple w:instr=" SEQ Table \* ARABIC ">
        <w:r w:rsidR="00CF4EEA">
          <w:rPr>
            <w:noProof/>
          </w:rPr>
          <w:t>4</w:t>
        </w:r>
      </w:fldSimple>
      <w:bookmarkEnd w:id="21"/>
      <w:r>
        <w:t xml:space="preserve"> - Actual annual emissions of pm by stationary sources in highlands county, florida in 2005 and 2015.</w:t>
      </w:r>
    </w:p>
    <w:tbl>
      <w:tblPr>
        <w:tblW w:w="4397" w:type="pct"/>
        <w:jc w:val="center"/>
        <w:tblBorders>
          <w:top w:val="single" w:sz="8" w:space="0" w:color="auto"/>
          <w:left w:val="single" w:sz="8" w:space="0" w:color="auto"/>
          <w:bottom w:val="single" w:sz="4" w:space="0" w:color="auto"/>
          <w:right w:val="single" w:sz="4" w:space="0" w:color="auto"/>
          <w:insideH w:val="single" w:sz="8" w:space="0" w:color="auto"/>
          <w:insideV w:val="single" w:sz="8" w:space="0" w:color="auto"/>
        </w:tblBorders>
        <w:tblLook w:val="04A0" w:firstRow="1" w:lastRow="0" w:firstColumn="1" w:lastColumn="0" w:noHBand="0" w:noVBand="1"/>
      </w:tblPr>
      <w:tblGrid>
        <w:gridCol w:w="1363"/>
        <w:gridCol w:w="2851"/>
        <w:gridCol w:w="2853"/>
        <w:gridCol w:w="1658"/>
      </w:tblGrid>
      <w:tr w:rsidR="007A792F" w:rsidRPr="00FF09C8" w:rsidTr="007A792F">
        <w:trPr>
          <w:jc w:val="center"/>
        </w:trPr>
        <w:tc>
          <w:tcPr>
            <w:tcW w:w="781" w:type="pct"/>
            <w:shd w:val="clear" w:color="auto" w:fill="C6D9F1" w:themeFill="text2" w:themeFillTint="33"/>
          </w:tcPr>
          <w:p w:rsidR="007A792F" w:rsidRPr="00475AE0" w:rsidRDefault="007A792F" w:rsidP="00963859">
            <w:pPr>
              <w:jc w:val="center"/>
              <w:rPr>
                <w:b/>
              </w:rPr>
            </w:pPr>
            <w:r w:rsidRPr="00475AE0">
              <w:rPr>
                <w:b/>
              </w:rPr>
              <w:t>Pollutant</w:t>
            </w:r>
          </w:p>
        </w:tc>
        <w:tc>
          <w:tcPr>
            <w:tcW w:w="1634" w:type="pct"/>
            <w:shd w:val="clear" w:color="auto" w:fill="C6D9F1" w:themeFill="text2" w:themeFillTint="33"/>
          </w:tcPr>
          <w:p w:rsidR="007A792F" w:rsidRPr="00475AE0" w:rsidRDefault="007A792F" w:rsidP="00963859">
            <w:pPr>
              <w:jc w:val="center"/>
              <w:rPr>
                <w:b/>
              </w:rPr>
            </w:pPr>
            <w:r w:rsidRPr="00475AE0">
              <w:rPr>
                <w:b/>
              </w:rPr>
              <w:t>2005 Actual Emissions (TPY)</w:t>
            </w:r>
          </w:p>
        </w:tc>
        <w:tc>
          <w:tcPr>
            <w:tcW w:w="1635" w:type="pct"/>
            <w:shd w:val="clear" w:color="auto" w:fill="C6D9F1" w:themeFill="text2" w:themeFillTint="33"/>
          </w:tcPr>
          <w:p w:rsidR="007A792F" w:rsidRPr="00475AE0" w:rsidRDefault="007A792F" w:rsidP="00963859">
            <w:pPr>
              <w:jc w:val="center"/>
              <w:rPr>
                <w:b/>
              </w:rPr>
            </w:pPr>
            <w:r w:rsidRPr="00475AE0">
              <w:rPr>
                <w:b/>
              </w:rPr>
              <w:t>2015 Actual Emissions (TPY)</w:t>
            </w:r>
          </w:p>
        </w:tc>
        <w:tc>
          <w:tcPr>
            <w:tcW w:w="950" w:type="pct"/>
            <w:shd w:val="clear" w:color="auto" w:fill="C6D9F1" w:themeFill="text2" w:themeFillTint="33"/>
          </w:tcPr>
          <w:p w:rsidR="007A792F" w:rsidRPr="00475AE0" w:rsidRDefault="007A792F" w:rsidP="00963859">
            <w:pPr>
              <w:jc w:val="center"/>
              <w:rPr>
                <w:b/>
              </w:rPr>
            </w:pPr>
            <w:r w:rsidRPr="00475AE0">
              <w:rPr>
                <w:b/>
              </w:rPr>
              <w:t>Percent Change</w:t>
            </w:r>
          </w:p>
        </w:tc>
      </w:tr>
      <w:tr w:rsidR="007A792F" w:rsidRPr="00FF09C8" w:rsidTr="007A792F">
        <w:trPr>
          <w:trHeight w:val="232"/>
          <w:jc w:val="center"/>
        </w:trPr>
        <w:tc>
          <w:tcPr>
            <w:tcW w:w="781" w:type="pct"/>
            <w:shd w:val="clear" w:color="auto" w:fill="auto"/>
          </w:tcPr>
          <w:p w:rsidR="007A792F" w:rsidRPr="00475AE0" w:rsidRDefault="007A792F" w:rsidP="00963859">
            <w:pPr>
              <w:jc w:val="center"/>
              <w:rPr>
                <w:b/>
              </w:rPr>
            </w:pPr>
            <w:r w:rsidRPr="00475AE0">
              <w:rPr>
                <w:b/>
              </w:rPr>
              <w:t>PM</w:t>
            </w:r>
          </w:p>
        </w:tc>
        <w:tc>
          <w:tcPr>
            <w:tcW w:w="1634" w:type="pct"/>
          </w:tcPr>
          <w:p w:rsidR="007A792F" w:rsidRPr="00475AE0" w:rsidRDefault="007A792F" w:rsidP="00963859">
            <w:pPr>
              <w:jc w:val="center"/>
            </w:pPr>
            <w:r w:rsidRPr="00475AE0">
              <w:t>58.0</w:t>
            </w:r>
          </w:p>
        </w:tc>
        <w:tc>
          <w:tcPr>
            <w:tcW w:w="1635" w:type="pct"/>
          </w:tcPr>
          <w:p w:rsidR="007A792F" w:rsidRPr="00475AE0" w:rsidRDefault="007A792F" w:rsidP="00963859">
            <w:pPr>
              <w:jc w:val="center"/>
            </w:pPr>
            <w:r w:rsidRPr="00475AE0">
              <w:t>4.8</w:t>
            </w:r>
          </w:p>
        </w:tc>
        <w:tc>
          <w:tcPr>
            <w:tcW w:w="950" w:type="pct"/>
          </w:tcPr>
          <w:p w:rsidR="007A792F" w:rsidRPr="00475AE0" w:rsidRDefault="007A792F" w:rsidP="00963859">
            <w:pPr>
              <w:jc w:val="center"/>
            </w:pPr>
            <w:r w:rsidRPr="00475AE0">
              <w:t>-92%</w:t>
            </w:r>
          </w:p>
        </w:tc>
      </w:tr>
    </w:tbl>
    <w:p w:rsidR="007A792F" w:rsidRPr="00155062" w:rsidRDefault="007A792F" w:rsidP="00963859">
      <w:pPr>
        <w:pStyle w:val="ListParagraph"/>
        <w:widowControl w:val="0"/>
        <w:numPr>
          <w:ilvl w:val="2"/>
          <w:numId w:val="15"/>
        </w:numPr>
        <w:spacing w:before="120" w:after="120"/>
        <w:ind w:left="720" w:hanging="720"/>
        <w:jc w:val="both"/>
        <w:rPr>
          <w:sz w:val="22"/>
          <w:szCs w:val="22"/>
          <w:u w:val="single"/>
        </w:rPr>
      </w:pPr>
      <w:r w:rsidRPr="00155062">
        <w:rPr>
          <w:sz w:val="22"/>
          <w:szCs w:val="22"/>
          <w:u w:val="single"/>
        </w:rPr>
        <w:t>Nearby Sources</w:t>
      </w:r>
    </w:p>
    <w:p w:rsidR="00D87101" w:rsidRDefault="007A792F" w:rsidP="00963859">
      <w:pPr>
        <w:widowControl w:val="0"/>
        <w:spacing w:after="120"/>
        <w:jc w:val="both"/>
        <w:rPr>
          <w:sz w:val="22"/>
          <w:szCs w:val="22"/>
        </w:rPr>
      </w:pPr>
      <w:r>
        <w:rPr>
          <w:sz w:val="22"/>
          <w:szCs w:val="22"/>
        </w:rPr>
        <w:t xml:space="preserve">Highlands County contains very few significant stationary sources of air pollutants.  </w:t>
      </w:r>
      <w:r w:rsidRPr="00782384">
        <w:rPr>
          <w:sz w:val="22"/>
          <w:szCs w:val="22"/>
        </w:rPr>
        <w:t xml:space="preserve">The existing sources within </w:t>
      </w:r>
      <w:r>
        <w:rPr>
          <w:sz w:val="22"/>
          <w:szCs w:val="22"/>
        </w:rPr>
        <w:t xml:space="preserve">Highlands </w:t>
      </w:r>
      <w:r w:rsidRPr="00782384">
        <w:rPr>
          <w:sz w:val="22"/>
          <w:szCs w:val="22"/>
        </w:rPr>
        <w:t>County are generally very small and outside of population centers</w:t>
      </w:r>
      <w:r>
        <w:rPr>
          <w:sz w:val="22"/>
          <w:szCs w:val="22"/>
        </w:rPr>
        <w:t>,</w:t>
      </w:r>
      <w:r w:rsidRPr="00782384">
        <w:rPr>
          <w:sz w:val="22"/>
          <w:szCs w:val="22"/>
        </w:rPr>
        <w:t xml:space="preserve"> </w:t>
      </w:r>
      <w:r>
        <w:rPr>
          <w:sz w:val="22"/>
          <w:szCs w:val="22"/>
        </w:rPr>
        <w:t xml:space="preserve">providing for clean ambient air.  </w:t>
      </w:r>
      <w:r w:rsidRPr="0024572D">
        <w:rPr>
          <w:b/>
          <w:sz w:val="22"/>
          <w:szCs w:val="22"/>
        </w:rPr>
        <w:fldChar w:fldCharType="begin"/>
      </w:r>
      <w:r w:rsidRPr="0024572D">
        <w:rPr>
          <w:b/>
          <w:sz w:val="22"/>
          <w:szCs w:val="22"/>
        </w:rPr>
        <w:instrText xml:space="preserve"> REF _Ref485728633 \h  \* MERGEFORMAT </w:instrText>
      </w:r>
      <w:r w:rsidRPr="0024572D">
        <w:rPr>
          <w:b/>
          <w:sz w:val="22"/>
          <w:szCs w:val="22"/>
        </w:rPr>
      </w:r>
      <w:r w:rsidRPr="0024572D">
        <w:rPr>
          <w:b/>
          <w:sz w:val="22"/>
          <w:szCs w:val="22"/>
        </w:rPr>
        <w:fldChar w:fldCharType="separate"/>
      </w:r>
      <w:r w:rsidR="005A4C55" w:rsidRPr="005A4C55">
        <w:rPr>
          <w:b/>
          <w:sz w:val="22"/>
          <w:szCs w:val="22"/>
        </w:rPr>
        <w:t xml:space="preserve">Table </w:t>
      </w:r>
      <w:r w:rsidR="005A4C55" w:rsidRPr="005A4C55">
        <w:rPr>
          <w:b/>
          <w:noProof/>
          <w:sz w:val="22"/>
          <w:szCs w:val="22"/>
        </w:rPr>
        <w:t>5</w:t>
      </w:r>
      <w:r w:rsidRPr="0024572D">
        <w:rPr>
          <w:b/>
          <w:sz w:val="22"/>
          <w:szCs w:val="22"/>
        </w:rPr>
        <w:fldChar w:fldCharType="end"/>
      </w:r>
      <w:r w:rsidRPr="0024572D">
        <w:rPr>
          <w:b/>
          <w:sz w:val="22"/>
          <w:szCs w:val="22"/>
        </w:rPr>
        <w:t xml:space="preserve"> </w:t>
      </w:r>
      <w:r>
        <w:rPr>
          <w:sz w:val="22"/>
          <w:szCs w:val="22"/>
        </w:rPr>
        <w:t>provides some perspective on the relative size of the project and nearby sources by comparing its maximum potential future emissions of PM with the actual 2015 emissions from the five largest PM sources within 50 km, all of which are over 25 km away from the project site (</w:t>
      </w:r>
      <w:r w:rsidRPr="0024572D">
        <w:rPr>
          <w:b/>
          <w:sz w:val="22"/>
          <w:szCs w:val="22"/>
        </w:rPr>
        <w:fldChar w:fldCharType="begin"/>
      </w:r>
      <w:r w:rsidRPr="0024572D">
        <w:rPr>
          <w:b/>
          <w:sz w:val="22"/>
          <w:szCs w:val="22"/>
        </w:rPr>
        <w:instrText xml:space="preserve"> REF _Ref485728699 \h  \* MERGEFORMAT </w:instrText>
      </w:r>
      <w:r w:rsidRPr="0024572D">
        <w:rPr>
          <w:b/>
          <w:sz w:val="22"/>
          <w:szCs w:val="22"/>
        </w:rPr>
      </w:r>
      <w:r w:rsidRPr="0024572D">
        <w:rPr>
          <w:b/>
          <w:sz w:val="22"/>
          <w:szCs w:val="22"/>
        </w:rPr>
        <w:fldChar w:fldCharType="separate"/>
      </w:r>
      <w:r w:rsidR="005A4C55" w:rsidRPr="005A4C55">
        <w:rPr>
          <w:b/>
          <w:sz w:val="22"/>
          <w:szCs w:val="22"/>
        </w:rPr>
        <w:t xml:space="preserve">Figure </w:t>
      </w:r>
      <w:r w:rsidR="005A4C55" w:rsidRPr="005A4C55">
        <w:rPr>
          <w:b/>
          <w:noProof/>
          <w:sz w:val="22"/>
          <w:szCs w:val="22"/>
        </w:rPr>
        <w:t>11</w:t>
      </w:r>
      <w:r w:rsidRPr="0024572D">
        <w:rPr>
          <w:b/>
          <w:sz w:val="22"/>
          <w:szCs w:val="22"/>
        </w:rPr>
        <w:fldChar w:fldCharType="end"/>
      </w:r>
      <w:r>
        <w:rPr>
          <w:sz w:val="22"/>
          <w:szCs w:val="22"/>
        </w:rPr>
        <w:t xml:space="preserve">).  </w:t>
      </w:r>
    </w:p>
    <w:p w:rsidR="007A792F" w:rsidRDefault="007A792F" w:rsidP="00963859">
      <w:pPr>
        <w:pStyle w:val="Caption"/>
        <w:spacing w:before="120"/>
      </w:pPr>
      <w:bookmarkStart w:id="22" w:name="_Ref485728633"/>
      <w:r>
        <w:t xml:space="preserve">Table </w:t>
      </w:r>
      <w:fldSimple w:instr=" SEQ Table \* ARABIC ">
        <w:r w:rsidR="00CF4EEA">
          <w:rPr>
            <w:noProof/>
          </w:rPr>
          <w:t>5</w:t>
        </w:r>
      </w:fldSimple>
      <w:bookmarkEnd w:id="22"/>
      <w:r>
        <w:t xml:space="preserve"> - </w:t>
      </w:r>
      <w:r w:rsidRPr="005F2C33">
        <w:t>ACTUAL 2015 EMISSIONS OF PM FROM THE LARGEST STATIONARY SOURCES NEAR THE PROJECT SITE, COMPARED TO THE MAXIMUM FUTURE POTENTIAL EMISSIONS</w:t>
      </w:r>
    </w:p>
    <w:tbl>
      <w:tblPr>
        <w:tblW w:w="5211" w:type="pct"/>
        <w:tblInd w:w="-18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70"/>
        <w:gridCol w:w="3421"/>
        <w:gridCol w:w="1349"/>
        <w:gridCol w:w="1705"/>
      </w:tblGrid>
      <w:tr w:rsidR="007A792F" w:rsidRPr="00FF09C8" w:rsidTr="007A792F">
        <w:tc>
          <w:tcPr>
            <w:tcW w:w="1870" w:type="pct"/>
            <w:shd w:val="clear" w:color="auto" w:fill="C6D9F1" w:themeFill="text2" w:themeFillTint="33"/>
            <w:vAlign w:val="center"/>
          </w:tcPr>
          <w:p w:rsidR="007A792F" w:rsidRPr="00475AE0" w:rsidRDefault="007A792F" w:rsidP="00475AE0">
            <w:pPr>
              <w:jc w:val="center"/>
              <w:rPr>
                <w:b/>
              </w:rPr>
            </w:pPr>
            <w:r w:rsidRPr="00475AE0">
              <w:rPr>
                <w:b/>
              </w:rPr>
              <w:t>Owner</w:t>
            </w:r>
          </w:p>
        </w:tc>
        <w:tc>
          <w:tcPr>
            <w:tcW w:w="1653" w:type="pct"/>
            <w:shd w:val="clear" w:color="auto" w:fill="C6D9F1" w:themeFill="text2" w:themeFillTint="33"/>
            <w:vAlign w:val="center"/>
          </w:tcPr>
          <w:p w:rsidR="007A792F" w:rsidRPr="00475AE0" w:rsidRDefault="007A792F" w:rsidP="00475AE0">
            <w:pPr>
              <w:jc w:val="center"/>
              <w:rPr>
                <w:b/>
              </w:rPr>
            </w:pPr>
            <w:r w:rsidRPr="00475AE0">
              <w:rPr>
                <w:b/>
              </w:rPr>
              <w:t>Facility Name</w:t>
            </w:r>
          </w:p>
        </w:tc>
        <w:tc>
          <w:tcPr>
            <w:tcW w:w="652" w:type="pct"/>
            <w:shd w:val="clear" w:color="auto" w:fill="C6D9F1" w:themeFill="text2" w:themeFillTint="33"/>
            <w:vAlign w:val="center"/>
          </w:tcPr>
          <w:p w:rsidR="007A792F" w:rsidRPr="00475AE0" w:rsidRDefault="007A792F" w:rsidP="00475AE0">
            <w:pPr>
              <w:jc w:val="center"/>
              <w:rPr>
                <w:b/>
              </w:rPr>
            </w:pPr>
            <w:r w:rsidRPr="00475AE0">
              <w:rPr>
                <w:b/>
              </w:rPr>
              <w:t>County</w:t>
            </w:r>
          </w:p>
        </w:tc>
        <w:tc>
          <w:tcPr>
            <w:tcW w:w="824" w:type="pct"/>
            <w:shd w:val="clear" w:color="auto" w:fill="C6D9F1" w:themeFill="text2" w:themeFillTint="33"/>
          </w:tcPr>
          <w:p w:rsidR="007A792F" w:rsidRPr="00475AE0" w:rsidRDefault="007A792F" w:rsidP="00475AE0">
            <w:pPr>
              <w:jc w:val="center"/>
              <w:rPr>
                <w:b/>
              </w:rPr>
            </w:pPr>
            <w:r w:rsidRPr="00475AE0">
              <w:rPr>
                <w:b/>
              </w:rPr>
              <w:t>2015 PM Emissions (TPY)</w:t>
            </w:r>
          </w:p>
        </w:tc>
      </w:tr>
      <w:tr w:rsidR="007A792F" w:rsidRPr="00FF09C8" w:rsidTr="007A792F">
        <w:tc>
          <w:tcPr>
            <w:tcW w:w="1870" w:type="pct"/>
            <w:shd w:val="clear" w:color="auto" w:fill="CCC0D9"/>
          </w:tcPr>
          <w:p w:rsidR="007A792F" w:rsidRPr="00475AE0" w:rsidRDefault="00D87101" w:rsidP="00475AE0">
            <w:pPr>
              <w:jc w:val="center"/>
            </w:pPr>
            <w:r>
              <w:t>Highland EnviroF</w:t>
            </w:r>
            <w:r w:rsidR="007A792F" w:rsidRPr="00475AE0">
              <w:t>uels, LLC</w:t>
            </w:r>
          </w:p>
        </w:tc>
        <w:tc>
          <w:tcPr>
            <w:tcW w:w="1653" w:type="pct"/>
            <w:shd w:val="clear" w:color="auto" w:fill="CCC0D9"/>
          </w:tcPr>
          <w:p w:rsidR="007A792F" w:rsidRPr="00475AE0" w:rsidRDefault="007A792F" w:rsidP="00475AE0">
            <w:pPr>
              <w:jc w:val="center"/>
              <w:rPr>
                <w:i/>
              </w:rPr>
            </w:pPr>
            <w:r w:rsidRPr="00475AE0">
              <w:rPr>
                <w:i/>
              </w:rPr>
              <w:t>This Project</w:t>
            </w:r>
          </w:p>
        </w:tc>
        <w:tc>
          <w:tcPr>
            <w:tcW w:w="652" w:type="pct"/>
            <w:shd w:val="clear" w:color="auto" w:fill="CCC0D9"/>
          </w:tcPr>
          <w:p w:rsidR="007A792F" w:rsidRPr="00475AE0" w:rsidRDefault="007A792F" w:rsidP="00475AE0">
            <w:pPr>
              <w:jc w:val="center"/>
            </w:pPr>
            <w:r w:rsidRPr="00475AE0">
              <w:t>Highlands</w:t>
            </w:r>
          </w:p>
        </w:tc>
        <w:tc>
          <w:tcPr>
            <w:tcW w:w="824" w:type="pct"/>
            <w:shd w:val="clear" w:color="auto" w:fill="CCC0D9"/>
          </w:tcPr>
          <w:p w:rsidR="007A792F" w:rsidRPr="00475AE0" w:rsidRDefault="007A792F" w:rsidP="00475AE0">
            <w:pPr>
              <w:jc w:val="center"/>
            </w:pPr>
            <w:r w:rsidRPr="00475AE0">
              <w:t>52.2</w:t>
            </w:r>
          </w:p>
        </w:tc>
      </w:tr>
      <w:tr w:rsidR="007A792F" w:rsidRPr="00FF09C8" w:rsidTr="007A792F">
        <w:tc>
          <w:tcPr>
            <w:tcW w:w="1870" w:type="pct"/>
          </w:tcPr>
          <w:p w:rsidR="007A792F" w:rsidRPr="00475AE0" w:rsidRDefault="007A792F" w:rsidP="00475AE0">
            <w:pPr>
              <w:jc w:val="center"/>
            </w:pPr>
            <w:r w:rsidRPr="00475AE0">
              <w:t>Turf Care Supply Corp.</w:t>
            </w:r>
          </w:p>
        </w:tc>
        <w:tc>
          <w:tcPr>
            <w:tcW w:w="1653" w:type="pct"/>
          </w:tcPr>
          <w:p w:rsidR="007A792F" w:rsidRPr="00475AE0" w:rsidRDefault="007A792F" w:rsidP="00475AE0">
            <w:pPr>
              <w:jc w:val="center"/>
            </w:pPr>
            <w:r w:rsidRPr="00475AE0">
              <w:t>TCSC Sebring Plant</w:t>
            </w:r>
          </w:p>
        </w:tc>
        <w:tc>
          <w:tcPr>
            <w:tcW w:w="652" w:type="pct"/>
          </w:tcPr>
          <w:p w:rsidR="007A792F" w:rsidRPr="00475AE0" w:rsidRDefault="007A792F" w:rsidP="00475AE0">
            <w:pPr>
              <w:jc w:val="center"/>
            </w:pPr>
            <w:r w:rsidRPr="00475AE0">
              <w:t>Highlands</w:t>
            </w:r>
          </w:p>
        </w:tc>
        <w:tc>
          <w:tcPr>
            <w:tcW w:w="824" w:type="pct"/>
          </w:tcPr>
          <w:p w:rsidR="007A792F" w:rsidRPr="00475AE0" w:rsidRDefault="007A792F" w:rsidP="00475AE0">
            <w:pPr>
              <w:jc w:val="center"/>
            </w:pPr>
            <w:r w:rsidRPr="00475AE0">
              <w:t>3.20</w:t>
            </w:r>
          </w:p>
        </w:tc>
      </w:tr>
      <w:tr w:rsidR="007A792F" w:rsidRPr="00FF09C8" w:rsidTr="007A792F">
        <w:tc>
          <w:tcPr>
            <w:tcW w:w="1870" w:type="pct"/>
          </w:tcPr>
          <w:p w:rsidR="007A792F" w:rsidRPr="00475AE0" w:rsidRDefault="007A792F" w:rsidP="00475AE0">
            <w:pPr>
              <w:jc w:val="center"/>
            </w:pPr>
            <w:r w:rsidRPr="00475AE0">
              <w:t>Florida Gas Transmission Company</w:t>
            </w:r>
          </w:p>
        </w:tc>
        <w:tc>
          <w:tcPr>
            <w:tcW w:w="1653" w:type="pct"/>
          </w:tcPr>
          <w:p w:rsidR="007A792F" w:rsidRPr="00475AE0" w:rsidRDefault="007A792F" w:rsidP="00475AE0">
            <w:pPr>
              <w:jc w:val="center"/>
            </w:pPr>
            <w:r w:rsidRPr="00475AE0">
              <w:t>Compressor Station No. 29</w:t>
            </w:r>
          </w:p>
        </w:tc>
        <w:tc>
          <w:tcPr>
            <w:tcW w:w="652" w:type="pct"/>
          </w:tcPr>
          <w:p w:rsidR="007A792F" w:rsidRPr="00475AE0" w:rsidRDefault="007A792F" w:rsidP="00475AE0">
            <w:pPr>
              <w:jc w:val="center"/>
            </w:pPr>
            <w:r w:rsidRPr="00475AE0">
              <w:t>Highlands</w:t>
            </w:r>
          </w:p>
        </w:tc>
        <w:tc>
          <w:tcPr>
            <w:tcW w:w="824" w:type="pct"/>
          </w:tcPr>
          <w:p w:rsidR="007A792F" w:rsidRPr="00475AE0" w:rsidRDefault="007A792F" w:rsidP="00475AE0">
            <w:pPr>
              <w:jc w:val="center"/>
            </w:pPr>
            <w:r w:rsidRPr="00475AE0">
              <w:t>0.85</w:t>
            </w:r>
          </w:p>
        </w:tc>
      </w:tr>
      <w:tr w:rsidR="007A792F" w:rsidRPr="00FF09C8" w:rsidTr="007A792F">
        <w:tc>
          <w:tcPr>
            <w:tcW w:w="1870" w:type="pct"/>
          </w:tcPr>
          <w:p w:rsidR="007A792F" w:rsidRPr="00475AE0" w:rsidRDefault="007A792F" w:rsidP="00475AE0">
            <w:pPr>
              <w:jc w:val="center"/>
            </w:pPr>
            <w:r w:rsidRPr="00475AE0">
              <w:lastRenderedPageBreak/>
              <w:t>Duke Energy Florida, Inc.</w:t>
            </w:r>
          </w:p>
        </w:tc>
        <w:tc>
          <w:tcPr>
            <w:tcW w:w="1653" w:type="pct"/>
          </w:tcPr>
          <w:p w:rsidR="007A792F" w:rsidRPr="00475AE0" w:rsidRDefault="007A792F" w:rsidP="00475AE0">
            <w:pPr>
              <w:jc w:val="center"/>
            </w:pPr>
            <w:r w:rsidRPr="00475AE0">
              <w:t>Avon Park</w:t>
            </w:r>
          </w:p>
        </w:tc>
        <w:tc>
          <w:tcPr>
            <w:tcW w:w="652" w:type="pct"/>
          </w:tcPr>
          <w:p w:rsidR="007A792F" w:rsidRPr="00475AE0" w:rsidRDefault="007A792F" w:rsidP="00475AE0">
            <w:pPr>
              <w:jc w:val="center"/>
            </w:pPr>
            <w:r w:rsidRPr="00475AE0">
              <w:t>Highlands</w:t>
            </w:r>
          </w:p>
        </w:tc>
        <w:tc>
          <w:tcPr>
            <w:tcW w:w="824" w:type="pct"/>
          </w:tcPr>
          <w:p w:rsidR="007A792F" w:rsidRPr="00475AE0" w:rsidRDefault="007A792F" w:rsidP="00475AE0">
            <w:pPr>
              <w:jc w:val="center"/>
            </w:pPr>
            <w:r w:rsidRPr="00475AE0">
              <w:t>0.43</w:t>
            </w:r>
          </w:p>
        </w:tc>
      </w:tr>
      <w:tr w:rsidR="007A792F" w:rsidRPr="00FF09C8" w:rsidTr="007A792F">
        <w:tc>
          <w:tcPr>
            <w:tcW w:w="1870" w:type="pct"/>
          </w:tcPr>
          <w:p w:rsidR="007A792F" w:rsidRPr="00475AE0" w:rsidRDefault="007A792F" w:rsidP="00475AE0">
            <w:pPr>
              <w:jc w:val="center"/>
            </w:pPr>
            <w:r w:rsidRPr="00475AE0">
              <w:t>Okeechobee Asphalt &amp; Ready-Mix Concrete</w:t>
            </w:r>
          </w:p>
        </w:tc>
        <w:tc>
          <w:tcPr>
            <w:tcW w:w="1653" w:type="pct"/>
          </w:tcPr>
          <w:p w:rsidR="007A792F" w:rsidRPr="00475AE0" w:rsidRDefault="007A792F" w:rsidP="00475AE0">
            <w:pPr>
              <w:jc w:val="center"/>
            </w:pPr>
            <w:r w:rsidRPr="00475AE0">
              <w:t>Okeechobee Asphalt/Asphalt Plant</w:t>
            </w:r>
          </w:p>
        </w:tc>
        <w:tc>
          <w:tcPr>
            <w:tcW w:w="652" w:type="pct"/>
          </w:tcPr>
          <w:p w:rsidR="007A792F" w:rsidRPr="00475AE0" w:rsidRDefault="007A792F" w:rsidP="00475AE0">
            <w:pPr>
              <w:jc w:val="center"/>
            </w:pPr>
            <w:r w:rsidRPr="00475AE0">
              <w:t>Okeechobee</w:t>
            </w:r>
          </w:p>
        </w:tc>
        <w:tc>
          <w:tcPr>
            <w:tcW w:w="824" w:type="pct"/>
          </w:tcPr>
          <w:p w:rsidR="007A792F" w:rsidRPr="00475AE0" w:rsidRDefault="007A792F" w:rsidP="00475AE0">
            <w:pPr>
              <w:jc w:val="center"/>
            </w:pPr>
            <w:r w:rsidRPr="00475AE0">
              <w:t>0.31</w:t>
            </w:r>
          </w:p>
        </w:tc>
      </w:tr>
      <w:tr w:rsidR="007A792F" w:rsidRPr="00FF09C8" w:rsidTr="007A792F">
        <w:tc>
          <w:tcPr>
            <w:tcW w:w="1870" w:type="pct"/>
          </w:tcPr>
          <w:p w:rsidR="007A792F" w:rsidRPr="00475AE0" w:rsidRDefault="007A792F" w:rsidP="00475AE0">
            <w:pPr>
              <w:jc w:val="center"/>
            </w:pPr>
            <w:r w:rsidRPr="00475AE0">
              <w:t>Highlands County Dept. of Solid Waste</w:t>
            </w:r>
          </w:p>
        </w:tc>
        <w:tc>
          <w:tcPr>
            <w:tcW w:w="1653" w:type="pct"/>
          </w:tcPr>
          <w:p w:rsidR="007A792F" w:rsidRPr="00475AE0" w:rsidRDefault="007A792F" w:rsidP="00475AE0">
            <w:pPr>
              <w:jc w:val="center"/>
            </w:pPr>
            <w:r w:rsidRPr="00475AE0">
              <w:t>Highlands County Dept. of Solid Waste</w:t>
            </w:r>
          </w:p>
        </w:tc>
        <w:tc>
          <w:tcPr>
            <w:tcW w:w="652" w:type="pct"/>
          </w:tcPr>
          <w:p w:rsidR="007A792F" w:rsidRPr="00475AE0" w:rsidRDefault="007A792F" w:rsidP="00475AE0">
            <w:pPr>
              <w:jc w:val="center"/>
            </w:pPr>
            <w:r w:rsidRPr="00475AE0">
              <w:t>Highlands</w:t>
            </w:r>
          </w:p>
        </w:tc>
        <w:tc>
          <w:tcPr>
            <w:tcW w:w="824" w:type="pct"/>
          </w:tcPr>
          <w:p w:rsidR="007A792F" w:rsidRPr="00475AE0" w:rsidRDefault="007A792F" w:rsidP="00475AE0">
            <w:pPr>
              <w:jc w:val="center"/>
            </w:pPr>
            <w:r w:rsidRPr="00475AE0">
              <w:t>0.21</w:t>
            </w:r>
          </w:p>
        </w:tc>
      </w:tr>
    </w:tbl>
    <w:p w:rsidR="007A792F" w:rsidRDefault="007A792F" w:rsidP="00963859">
      <w:pPr>
        <w:widowControl w:val="0"/>
        <w:spacing w:before="120" w:after="120"/>
        <w:jc w:val="center"/>
      </w:pPr>
      <w:r>
        <w:rPr>
          <w:noProof/>
          <w:sz w:val="22"/>
          <w:szCs w:val="22"/>
        </w:rPr>
        <w:drawing>
          <wp:inline distT="0" distB="0" distL="0" distR="0" wp14:anchorId="1D940837" wp14:editId="530BD9C1">
            <wp:extent cx="6553965" cy="5327373"/>
            <wp:effectExtent l="0" t="0" r="0" b="698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ighlands_BG_Sources.jpg"/>
                    <pic:cNvPicPr/>
                  </pic:nvPicPr>
                  <pic:blipFill rotWithShape="1">
                    <a:blip r:embed="rId51">
                      <a:extLst>
                        <a:ext uri="{28A0092B-C50C-407E-A947-70E740481C1C}">
                          <a14:useLocalDpi xmlns:a14="http://schemas.microsoft.com/office/drawing/2010/main" val="0"/>
                        </a:ext>
                      </a:extLst>
                    </a:blip>
                    <a:srcRect l="4982" r="8062"/>
                    <a:stretch/>
                  </pic:blipFill>
                  <pic:spPr bwMode="auto">
                    <a:xfrm>
                      <a:off x="0" y="0"/>
                      <a:ext cx="6640187" cy="5397459"/>
                    </a:xfrm>
                    <a:prstGeom prst="rect">
                      <a:avLst/>
                    </a:prstGeom>
                    <a:ln>
                      <a:noFill/>
                    </a:ln>
                    <a:extLst>
                      <a:ext uri="{53640926-AAD7-44D8-BBD7-CCE9431645EC}">
                        <a14:shadowObscured xmlns:a14="http://schemas.microsoft.com/office/drawing/2010/main"/>
                      </a:ext>
                    </a:extLst>
                  </pic:spPr>
                </pic:pic>
              </a:graphicData>
            </a:graphic>
          </wp:inline>
        </w:drawing>
      </w:r>
    </w:p>
    <w:p w:rsidR="007A792F" w:rsidRDefault="007A792F" w:rsidP="00D87101">
      <w:pPr>
        <w:pStyle w:val="Caption"/>
        <w:spacing w:before="120"/>
        <w:jc w:val="center"/>
        <w:rPr>
          <w:szCs w:val="22"/>
        </w:rPr>
      </w:pPr>
      <w:bookmarkStart w:id="23" w:name="_Ref485728699"/>
      <w:r>
        <w:rPr>
          <w:caps w:val="0"/>
        </w:rPr>
        <w:t xml:space="preserve">Figure </w:t>
      </w:r>
      <w:fldSimple w:instr=" SEQ Figure \* ARABIC ">
        <w:r w:rsidR="005A4C55">
          <w:rPr>
            <w:noProof/>
          </w:rPr>
          <w:t>11</w:t>
        </w:r>
      </w:fldSimple>
      <w:bookmarkEnd w:id="23"/>
      <w:r>
        <w:t xml:space="preserve">. </w:t>
      </w:r>
      <w:r w:rsidRPr="008115EE">
        <w:rPr>
          <w:caps w:val="0"/>
        </w:rPr>
        <w:t xml:space="preserve">Reference map for the </w:t>
      </w:r>
      <w:r>
        <w:rPr>
          <w:caps w:val="0"/>
        </w:rPr>
        <w:t>H</w:t>
      </w:r>
      <w:r w:rsidRPr="008115EE">
        <w:rPr>
          <w:caps w:val="0"/>
        </w:rPr>
        <w:t xml:space="preserve">ighlands </w:t>
      </w:r>
      <w:r>
        <w:rPr>
          <w:caps w:val="0"/>
        </w:rPr>
        <w:t>E</w:t>
      </w:r>
      <w:r w:rsidRPr="008115EE">
        <w:rPr>
          <w:caps w:val="0"/>
        </w:rPr>
        <w:t xml:space="preserve">thanol and </w:t>
      </w:r>
      <w:r>
        <w:rPr>
          <w:caps w:val="0"/>
        </w:rPr>
        <w:t>C</w:t>
      </w:r>
      <w:r w:rsidRPr="008115EE">
        <w:rPr>
          <w:caps w:val="0"/>
        </w:rPr>
        <w:t xml:space="preserve">ogen </w:t>
      </w:r>
      <w:r>
        <w:rPr>
          <w:caps w:val="0"/>
        </w:rPr>
        <w:t>P</w:t>
      </w:r>
      <w:r w:rsidRPr="008115EE">
        <w:rPr>
          <w:caps w:val="0"/>
        </w:rPr>
        <w:t>lant project including the largest sources of air pollutants within 50 km.</w:t>
      </w:r>
    </w:p>
    <w:p w:rsidR="007A792F" w:rsidRPr="00155062" w:rsidRDefault="007A792F" w:rsidP="00963859">
      <w:pPr>
        <w:pStyle w:val="ListParagraph"/>
        <w:widowControl w:val="0"/>
        <w:numPr>
          <w:ilvl w:val="2"/>
          <w:numId w:val="15"/>
        </w:numPr>
        <w:spacing w:after="120"/>
        <w:ind w:left="720" w:hanging="720"/>
        <w:jc w:val="both"/>
        <w:rPr>
          <w:sz w:val="22"/>
          <w:szCs w:val="22"/>
          <w:u w:val="single"/>
        </w:rPr>
      </w:pPr>
      <w:r w:rsidRPr="00155062">
        <w:rPr>
          <w:sz w:val="22"/>
          <w:szCs w:val="22"/>
          <w:u w:val="single"/>
        </w:rPr>
        <w:t>Monitors</w:t>
      </w:r>
    </w:p>
    <w:p w:rsidR="007A792F" w:rsidRDefault="007A792F" w:rsidP="00963859">
      <w:pPr>
        <w:spacing w:after="120"/>
        <w:rPr>
          <w:sz w:val="22"/>
          <w:szCs w:val="22"/>
        </w:rPr>
      </w:pPr>
      <w:r w:rsidRPr="009873B9">
        <w:rPr>
          <w:sz w:val="22"/>
          <w:szCs w:val="22"/>
        </w:rPr>
        <w:t xml:space="preserve">Florida has a robust ambient air monitoring network operated by the Department and its partners (local air pollution control programs). </w:t>
      </w:r>
      <w:r>
        <w:rPr>
          <w:sz w:val="22"/>
          <w:szCs w:val="22"/>
        </w:rPr>
        <w:t xml:space="preserve"> </w:t>
      </w:r>
      <w:r w:rsidRPr="009873B9">
        <w:rPr>
          <w:sz w:val="22"/>
          <w:szCs w:val="22"/>
        </w:rPr>
        <w:t xml:space="preserve">The network monitors concentrations of each of the criteria pollutants and includes monitors in Florida counties containing 92% of the population. </w:t>
      </w:r>
      <w:r>
        <w:rPr>
          <w:sz w:val="22"/>
          <w:szCs w:val="22"/>
        </w:rPr>
        <w:t xml:space="preserve"> T</w:t>
      </w:r>
      <w:r w:rsidRPr="009873B9">
        <w:rPr>
          <w:sz w:val="22"/>
          <w:szCs w:val="22"/>
        </w:rPr>
        <w:t xml:space="preserve">he representative </w:t>
      </w:r>
      <w:r>
        <w:rPr>
          <w:sz w:val="22"/>
          <w:szCs w:val="22"/>
        </w:rPr>
        <w:t>monitor chosen to evaluate the existing air quality in the area is</w:t>
      </w:r>
      <w:r w:rsidRPr="009873B9">
        <w:rPr>
          <w:sz w:val="22"/>
          <w:szCs w:val="22"/>
        </w:rPr>
        <w:t xml:space="preserve"> described i</w:t>
      </w:r>
      <w:r>
        <w:rPr>
          <w:sz w:val="22"/>
          <w:szCs w:val="22"/>
        </w:rPr>
        <w:t xml:space="preserve">n </w:t>
      </w:r>
      <w:r w:rsidRPr="002A6823">
        <w:rPr>
          <w:b/>
          <w:sz w:val="22"/>
          <w:szCs w:val="22"/>
        </w:rPr>
        <w:fldChar w:fldCharType="begin"/>
      </w:r>
      <w:r w:rsidRPr="002A6823">
        <w:rPr>
          <w:b/>
          <w:sz w:val="22"/>
          <w:szCs w:val="22"/>
        </w:rPr>
        <w:instrText xml:space="preserve"> REF _Ref485728920 \h  \* MERGEFORMAT </w:instrText>
      </w:r>
      <w:r w:rsidRPr="002A6823">
        <w:rPr>
          <w:b/>
          <w:sz w:val="22"/>
          <w:szCs w:val="22"/>
        </w:rPr>
      </w:r>
      <w:r w:rsidRPr="002A6823">
        <w:rPr>
          <w:b/>
          <w:sz w:val="22"/>
          <w:szCs w:val="22"/>
        </w:rPr>
        <w:fldChar w:fldCharType="separate"/>
      </w:r>
      <w:r w:rsidR="005A4C55" w:rsidRPr="005A4C55">
        <w:rPr>
          <w:b/>
          <w:sz w:val="22"/>
          <w:szCs w:val="22"/>
        </w:rPr>
        <w:t xml:space="preserve">Table </w:t>
      </w:r>
      <w:r w:rsidR="005A4C55" w:rsidRPr="005A4C55">
        <w:rPr>
          <w:b/>
          <w:noProof/>
          <w:sz w:val="22"/>
          <w:szCs w:val="22"/>
        </w:rPr>
        <w:t>6</w:t>
      </w:r>
      <w:r w:rsidRPr="002A6823">
        <w:rPr>
          <w:b/>
          <w:sz w:val="22"/>
          <w:szCs w:val="22"/>
        </w:rPr>
        <w:fldChar w:fldCharType="end"/>
      </w:r>
      <w:r>
        <w:rPr>
          <w:sz w:val="22"/>
          <w:szCs w:val="22"/>
        </w:rPr>
        <w:t xml:space="preserve"> </w:t>
      </w:r>
      <w:r w:rsidRPr="009873B9">
        <w:rPr>
          <w:sz w:val="22"/>
          <w:szCs w:val="22"/>
        </w:rPr>
        <w:t xml:space="preserve">and </w:t>
      </w:r>
      <w:r>
        <w:rPr>
          <w:sz w:val="22"/>
          <w:szCs w:val="22"/>
        </w:rPr>
        <w:t>is</w:t>
      </w:r>
      <w:r w:rsidRPr="009873B9">
        <w:rPr>
          <w:sz w:val="22"/>
          <w:szCs w:val="22"/>
        </w:rPr>
        <w:t xml:space="preserve"> used to satisfy the preconstruction monitoring requirements for PSD review contained in Rule 62-212.400(7), F.A.C. </w:t>
      </w:r>
      <w:r>
        <w:rPr>
          <w:sz w:val="22"/>
          <w:szCs w:val="22"/>
        </w:rPr>
        <w:t xml:space="preserve"> This monitor is the nearest monitor that </w:t>
      </w:r>
      <w:proofErr w:type="gramStart"/>
      <w:r>
        <w:rPr>
          <w:sz w:val="22"/>
          <w:szCs w:val="22"/>
        </w:rPr>
        <w:t>is located in</w:t>
      </w:r>
      <w:proofErr w:type="gramEnd"/>
      <w:r>
        <w:rPr>
          <w:sz w:val="22"/>
          <w:szCs w:val="22"/>
        </w:rPr>
        <w:t xml:space="preserve"> a similar setting to the project site.  Other nearby PM</w:t>
      </w:r>
      <w:r w:rsidRPr="003E1C6E">
        <w:rPr>
          <w:sz w:val="22"/>
          <w:szCs w:val="22"/>
          <w:vertAlign w:val="subscript"/>
        </w:rPr>
        <w:t>10</w:t>
      </w:r>
      <w:r>
        <w:rPr>
          <w:sz w:val="22"/>
          <w:szCs w:val="22"/>
        </w:rPr>
        <w:t xml:space="preserve"> and PM</w:t>
      </w:r>
      <w:r w:rsidRPr="003E1C6E">
        <w:rPr>
          <w:sz w:val="22"/>
          <w:szCs w:val="22"/>
          <w:vertAlign w:val="subscript"/>
        </w:rPr>
        <w:t>2.5</w:t>
      </w:r>
      <w:r>
        <w:rPr>
          <w:sz w:val="22"/>
          <w:szCs w:val="22"/>
        </w:rPr>
        <w:t xml:space="preserve"> monitors are either on the coast of Florida or are in or near the large urban area of Tampa, and so are not considered representative for the area.  The chosen monitor also provides conservative estimates, because it is located in the city of Lakeland, which is more urbanized than the rural area of the project site.  D</w:t>
      </w:r>
      <w:r w:rsidRPr="009873B9">
        <w:rPr>
          <w:sz w:val="22"/>
          <w:szCs w:val="22"/>
        </w:rPr>
        <w:t>esign values at th</w:t>
      </w:r>
      <w:r>
        <w:rPr>
          <w:sz w:val="22"/>
          <w:szCs w:val="22"/>
        </w:rPr>
        <w:t>is</w:t>
      </w:r>
      <w:r w:rsidRPr="009873B9">
        <w:rPr>
          <w:sz w:val="22"/>
          <w:szCs w:val="22"/>
        </w:rPr>
        <w:t xml:space="preserve"> monitor are </w:t>
      </w:r>
      <w:r>
        <w:rPr>
          <w:sz w:val="22"/>
          <w:szCs w:val="22"/>
        </w:rPr>
        <w:t>well below the</w:t>
      </w:r>
      <w:r w:rsidRPr="009873B9">
        <w:rPr>
          <w:sz w:val="22"/>
          <w:szCs w:val="22"/>
        </w:rPr>
        <w:t xml:space="preserve"> applicable NAAQS</w:t>
      </w:r>
      <w:r>
        <w:rPr>
          <w:sz w:val="22"/>
          <w:szCs w:val="22"/>
        </w:rPr>
        <w:t xml:space="preserve">.  </w:t>
      </w:r>
    </w:p>
    <w:p w:rsidR="007A792F" w:rsidRDefault="007A792F" w:rsidP="00963859">
      <w:pPr>
        <w:pStyle w:val="Caption"/>
        <w:spacing w:before="120"/>
        <w:jc w:val="center"/>
      </w:pPr>
      <w:bookmarkStart w:id="24" w:name="_Ref485728920"/>
      <w:r>
        <w:lastRenderedPageBreak/>
        <w:t xml:space="preserve">Table </w:t>
      </w:r>
      <w:fldSimple w:instr=" SEQ Table \* ARABIC ">
        <w:r w:rsidR="00CF4EEA">
          <w:rPr>
            <w:noProof/>
          </w:rPr>
          <w:t>6</w:t>
        </w:r>
      </w:fldSimple>
      <w:bookmarkEnd w:id="24"/>
      <w:r>
        <w:t xml:space="preserve"> - </w:t>
      </w:r>
      <w:r w:rsidRPr="007A7024">
        <w:t>CRITERIA POLLUTANT DESIGN VALUES FOR FLORIDA DEP AMBIENT AIR MONITOR CHOSEN TO CONSERVATIVELY CHARACTERTIZE THE PROJECT AREA AS PART OF THE PRECONSTRUCTION MONITORING REQUIREMENT OF PSD REVIEW.</w:t>
      </w:r>
    </w:p>
    <w:tbl>
      <w:tblPr>
        <w:tblW w:w="99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2340"/>
        <w:gridCol w:w="1440"/>
        <w:gridCol w:w="2039"/>
        <w:gridCol w:w="810"/>
        <w:gridCol w:w="1150"/>
        <w:gridCol w:w="900"/>
      </w:tblGrid>
      <w:tr w:rsidR="007A792F" w:rsidRPr="003A3B75" w:rsidTr="007A792F">
        <w:trPr>
          <w:cantSplit/>
          <w:trHeight w:val="288"/>
        </w:trPr>
        <w:tc>
          <w:tcPr>
            <w:tcW w:w="1260" w:type="dxa"/>
            <w:vMerge w:val="restart"/>
            <w:tcBorders>
              <w:top w:val="single" w:sz="4" w:space="0" w:color="auto"/>
              <w:left w:val="single" w:sz="4" w:space="0" w:color="auto"/>
              <w:bottom w:val="nil"/>
              <w:right w:val="nil"/>
            </w:tcBorders>
            <w:shd w:val="clear" w:color="auto" w:fill="C6D9F1" w:themeFill="text2" w:themeFillTint="33"/>
            <w:vAlign w:val="center"/>
          </w:tcPr>
          <w:p w:rsidR="007A792F" w:rsidRPr="00CB29C5" w:rsidRDefault="007A792F" w:rsidP="00963859">
            <w:pPr>
              <w:autoSpaceDE w:val="0"/>
              <w:autoSpaceDN w:val="0"/>
              <w:adjustRightInd w:val="0"/>
              <w:spacing w:before="20" w:after="20"/>
              <w:jc w:val="center"/>
              <w:rPr>
                <w:b/>
                <w:bCs/>
              </w:rPr>
            </w:pPr>
            <w:r w:rsidRPr="00CB29C5">
              <w:rPr>
                <w:b/>
                <w:bCs/>
              </w:rPr>
              <w:t>Pollutant</w:t>
            </w:r>
          </w:p>
        </w:tc>
        <w:tc>
          <w:tcPr>
            <w:tcW w:w="2340" w:type="dxa"/>
            <w:vMerge w:val="restart"/>
            <w:tcBorders>
              <w:top w:val="single" w:sz="4" w:space="0" w:color="auto"/>
              <w:left w:val="nil"/>
              <w:bottom w:val="nil"/>
              <w:right w:val="nil"/>
            </w:tcBorders>
            <w:shd w:val="clear" w:color="auto" w:fill="C6D9F1" w:themeFill="text2" w:themeFillTint="33"/>
            <w:vAlign w:val="center"/>
          </w:tcPr>
          <w:p w:rsidR="007A792F" w:rsidRPr="00CB29C5" w:rsidRDefault="007A792F" w:rsidP="00963859">
            <w:pPr>
              <w:autoSpaceDE w:val="0"/>
              <w:autoSpaceDN w:val="0"/>
              <w:adjustRightInd w:val="0"/>
              <w:spacing w:before="20" w:after="20"/>
              <w:jc w:val="center"/>
              <w:rPr>
                <w:b/>
                <w:bCs/>
              </w:rPr>
            </w:pPr>
            <w:r w:rsidRPr="00CB29C5">
              <w:rPr>
                <w:b/>
                <w:bCs/>
              </w:rPr>
              <w:t>Location</w:t>
            </w:r>
            <w:r w:rsidRPr="00CB29C5">
              <w:rPr>
                <w:b/>
                <w:bCs/>
              </w:rPr>
              <w:br/>
              <w:t>(Site Number)</w:t>
            </w:r>
          </w:p>
        </w:tc>
        <w:tc>
          <w:tcPr>
            <w:tcW w:w="1440" w:type="dxa"/>
            <w:vMerge w:val="restart"/>
            <w:tcBorders>
              <w:top w:val="single" w:sz="4" w:space="0" w:color="auto"/>
              <w:left w:val="nil"/>
              <w:bottom w:val="nil"/>
              <w:right w:val="nil"/>
            </w:tcBorders>
            <w:shd w:val="clear" w:color="auto" w:fill="C6D9F1" w:themeFill="text2" w:themeFillTint="33"/>
            <w:vAlign w:val="center"/>
          </w:tcPr>
          <w:p w:rsidR="007A792F" w:rsidRPr="00CB29C5" w:rsidRDefault="007A792F" w:rsidP="00963859">
            <w:pPr>
              <w:autoSpaceDE w:val="0"/>
              <w:autoSpaceDN w:val="0"/>
              <w:adjustRightInd w:val="0"/>
              <w:spacing w:before="20" w:after="20"/>
              <w:jc w:val="center"/>
              <w:rPr>
                <w:b/>
                <w:bCs/>
              </w:rPr>
            </w:pPr>
            <w:r w:rsidRPr="00CB29C5">
              <w:rPr>
                <w:b/>
                <w:bCs/>
              </w:rPr>
              <w:t>Averaging</w:t>
            </w:r>
            <w:r w:rsidRPr="00CB29C5">
              <w:rPr>
                <w:b/>
                <w:bCs/>
              </w:rPr>
              <w:br/>
              <w:t>Period</w:t>
            </w:r>
          </w:p>
        </w:tc>
        <w:tc>
          <w:tcPr>
            <w:tcW w:w="4899" w:type="dxa"/>
            <w:gridSpan w:val="4"/>
            <w:tcBorders>
              <w:top w:val="single" w:sz="4" w:space="0" w:color="auto"/>
              <w:left w:val="nil"/>
              <w:bottom w:val="nil"/>
              <w:right w:val="single" w:sz="4" w:space="0" w:color="auto"/>
            </w:tcBorders>
            <w:shd w:val="clear" w:color="auto" w:fill="C6D9F1" w:themeFill="text2" w:themeFillTint="33"/>
            <w:vAlign w:val="center"/>
          </w:tcPr>
          <w:p w:rsidR="007A792F" w:rsidRPr="00CB29C5" w:rsidRDefault="007A792F" w:rsidP="00963859">
            <w:pPr>
              <w:autoSpaceDE w:val="0"/>
              <w:autoSpaceDN w:val="0"/>
              <w:adjustRightInd w:val="0"/>
              <w:spacing w:before="20" w:after="20"/>
              <w:jc w:val="center"/>
              <w:rPr>
                <w:b/>
                <w:bCs/>
              </w:rPr>
            </w:pPr>
            <w:r w:rsidRPr="00CB29C5">
              <w:rPr>
                <w:b/>
                <w:bCs/>
              </w:rPr>
              <w:t>Ambient Concentration</w:t>
            </w:r>
          </w:p>
        </w:tc>
      </w:tr>
      <w:tr w:rsidR="007A792F" w:rsidRPr="003A3B75" w:rsidTr="007A792F">
        <w:trPr>
          <w:cantSplit/>
          <w:trHeight w:val="288"/>
        </w:trPr>
        <w:tc>
          <w:tcPr>
            <w:tcW w:w="1260" w:type="dxa"/>
            <w:vMerge/>
            <w:tcBorders>
              <w:top w:val="nil"/>
              <w:left w:val="single" w:sz="4" w:space="0" w:color="auto"/>
              <w:bottom w:val="single" w:sz="4" w:space="0" w:color="auto"/>
              <w:right w:val="nil"/>
            </w:tcBorders>
            <w:shd w:val="clear" w:color="auto" w:fill="C6D9F1" w:themeFill="text2" w:themeFillTint="33"/>
            <w:vAlign w:val="center"/>
          </w:tcPr>
          <w:p w:rsidR="007A792F" w:rsidRPr="00CB29C5" w:rsidRDefault="007A792F" w:rsidP="00963859">
            <w:pPr>
              <w:autoSpaceDE w:val="0"/>
              <w:autoSpaceDN w:val="0"/>
              <w:adjustRightInd w:val="0"/>
              <w:spacing w:before="20" w:after="20"/>
              <w:rPr>
                <w:b/>
                <w:bCs/>
              </w:rPr>
            </w:pPr>
          </w:p>
        </w:tc>
        <w:tc>
          <w:tcPr>
            <w:tcW w:w="2340" w:type="dxa"/>
            <w:vMerge/>
            <w:tcBorders>
              <w:top w:val="nil"/>
              <w:left w:val="nil"/>
              <w:bottom w:val="single" w:sz="4" w:space="0" w:color="auto"/>
              <w:right w:val="nil"/>
            </w:tcBorders>
            <w:shd w:val="clear" w:color="auto" w:fill="C6D9F1" w:themeFill="text2" w:themeFillTint="33"/>
            <w:vAlign w:val="center"/>
          </w:tcPr>
          <w:p w:rsidR="007A792F" w:rsidRPr="00CB29C5" w:rsidRDefault="007A792F" w:rsidP="00963859">
            <w:pPr>
              <w:autoSpaceDE w:val="0"/>
              <w:autoSpaceDN w:val="0"/>
              <w:adjustRightInd w:val="0"/>
              <w:spacing w:before="20" w:after="20"/>
              <w:rPr>
                <w:b/>
                <w:bCs/>
              </w:rPr>
            </w:pPr>
          </w:p>
        </w:tc>
        <w:tc>
          <w:tcPr>
            <w:tcW w:w="1440" w:type="dxa"/>
            <w:vMerge/>
            <w:tcBorders>
              <w:top w:val="nil"/>
              <w:left w:val="nil"/>
              <w:bottom w:val="nil"/>
              <w:right w:val="nil"/>
            </w:tcBorders>
            <w:shd w:val="clear" w:color="auto" w:fill="C6D9F1" w:themeFill="text2" w:themeFillTint="33"/>
            <w:vAlign w:val="center"/>
          </w:tcPr>
          <w:p w:rsidR="007A792F" w:rsidRPr="00CB29C5" w:rsidRDefault="007A792F" w:rsidP="00963859">
            <w:pPr>
              <w:autoSpaceDE w:val="0"/>
              <w:autoSpaceDN w:val="0"/>
              <w:adjustRightInd w:val="0"/>
              <w:spacing w:before="20" w:after="20"/>
              <w:rPr>
                <w:b/>
                <w:bCs/>
              </w:rPr>
            </w:pPr>
          </w:p>
        </w:tc>
        <w:tc>
          <w:tcPr>
            <w:tcW w:w="2039" w:type="dxa"/>
            <w:tcBorders>
              <w:top w:val="nil"/>
              <w:left w:val="nil"/>
              <w:bottom w:val="nil"/>
              <w:right w:val="nil"/>
            </w:tcBorders>
            <w:shd w:val="clear" w:color="auto" w:fill="C6D9F1" w:themeFill="text2" w:themeFillTint="33"/>
            <w:vAlign w:val="center"/>
          </w:tcPr>
          <w:p w:rsidR="007A792F" w:rsidRPr="00CB29C5" w:rsidRDefault="007A792F" w:rsidP="00963859">
            <w:pPr>
              <w:autoSpaceDE w:val="0"/>
              <w:autoSpaceDN w:val="0"/>
              <w:adjustRightInd w:val="0"/>
              <w:spacing w:before="20" w:after="20"/>
              <w:jc w:val="center"/>
              <w:rPr>
                <w:b/>
                <w:bCs/>
              </w:rPr>
            </w:pPr>
            <w:r w:rsidRPr="00CB29C5">
              <w:rPr>
                <w:b/>
                <w:bCs/>
              </w:rPr>
              <w:t>Compliance Period</w:t>
            </w:r>
          </w:p>
        </w:tc>
        <w:tc>
          <w:tcPr>
            <w:tcW w:w="810" w:type="dxa"/>
            <w:tcBorders>
              <w:top w:val="nil"/>
              <w:left w:val="nil"/>
              <w:bottom w:val="nil"/>
              <w:right w:val="nil"/>
            </w:tcBorders>
            <w:shd w:val="clear" w:color="auto" w:fill="C6D9F1" w:themeFill="text2" w:themeFillTint="33"/>
            <w:vAlign w:val="center"/>
          </w:tcPr>
          <w:p w:rsidR="007A792F" w:rsidRPr="00CB29C5" w:rsidRDefault="007A792F" w:rsidP="00963859">
            <w:pPr>
              <w:autoSpaceDE w:val="0"/>
              <w:autoSpaceDN w:val="0"/>
              <w:adjustRightInd w:val="0"/>
              <w:spacing w:before="20" w:after="20"/>
              <w:jc w:val="center"/>
              <w:rPr>
                <w:b/>
                <w:bCs/>
              </w:rPr>
            </w:pPr>
            <w:r w:rsidRPr="00CB29C5">
              <w:rPr>
                <w:b/>
                <w:bCs/>
              </w:rPr>
              <w:t>Value</w:t>
            </w:r>
          </w:p>
        </w:tc>
        <w:tc>
          <w:tcPr>
            <w:tcW w:w="1150" w:type="dxa"/>
            <w:tcBorders>
              <w:top w:val="nil"/>
              <w:left w:val="nil"/>
              <w:bottom w:val="nil"/>
              <w:right w:val="nil"/>
            </w:tcBorders>
            <w:shd w:val="clear" w:color="auto" w:fill="C6D9F1" w:themeFill="text2" w:themeFillTint="33"/>
            <w:vAlign w:val="center"/>
          </w:tcPr>
          <w:p w:rsidR="007A792F" w:rsidRPr="00CB29C5" w:rsidRDefault="007A792F" w:rsidP="00963859">
            <w:pPr>
              <w:autoSpaceDE w:val="0"/>
              <w:autoSpaceDN w:val="0"/>
              <w:adjustRightInd w:val="0"/>
              <w:spacing w:before="20" w:after="20"/>
              <w:jc w:val="center"/>
              <w:rPr>
                <w:b/>
                <w:bCs/>
              </w:rPr>
            </w:pPr>
            <w:r w:rsidRPr="00CB29C5">
              <w:rPr>
                <w:b/>
                <w:bCs/>
              </w:rPr>
              <w:t>Standard</w:t>
            </w:r>
          </w:p>
        </w:tc>
        <w:tc>
          <w:tcPr>
            <w:tcW w:w="900" w:type="dxa"/>
            <w:tcBorders>
              <w:top w:val="nil"/>
              <w:left w:val="nil"/>
              <w:bottom w:val="nil"/>
              <w:right w:val="single" w:sz="4" w:space="0" w:color="auto"/>
            </w:tcBorders>
            <w:shd w:val="clear" w:color="auto" w:fill="C6D9F1" w:themeFill="text2" w:themeFillTint="33"/>
            <w:vAlign w:val="center"/>
          </w:tcPr>
          <w:p w:rsidR="007A792F" w:rsidRPr="00CB29C5" w:rsidRDefault="007A792F" w:rsidP="00963859">
            <w:pPr>
              <w:autoSpaceDE w:val="0"/>
              <w:autoSpaceDN w:val="0"/>
              <w:adjustRightInd w:val="0"/>
              <w:spacing w:before="20" w:after="20"/>
              <w:jc w:val="center"/>
              <w:rPr>
                <w:b/>
                <w:bCs/>
              </w:rPr>
            </w:pPr>
            <w:proofErr w:type="spellStart"/>
            <w:r w:rsidRPr="00CB29C5">
              <w:rPr>
                <w:b/>
                <w:bCs/>
              </w:rPr>
              <w:t>Units</w:t>
            </w:r>
            <w:r w:rsidRPr="00F04C61">
              <w:rPr>
                <w:b/>
                <w:bCs/>
                <w:vertAlign w:val="superscript"/>
              </w:rPr>
              <w:t>a</w:t>
            </w:r>
            <w:proofErr w:type="spellEnd"/>
            <w:r w:rsidRPr="00CB29C5">
              <w:rPr>
                <w:b/>
                <w:bCs/>
              </w:rPr>
              <w:t xml:space="preserve"> </w:t>
            </w:r>
          </w:p>
        </w:tc>
      </w:tr>
      <w:tr w:rsidR="007A792F" w:rsidRPr="003A3B75" w:rsidTr="007A792F">
        <w:trPr>
          <w:cantSplit/>
          <w:trHeight w:val="293"/>
        </w:trPr>
        <w:tc>
          <w:tcPr>
            <w:tcW w:w="1260" w:type="dxa"/>
            <w:vMerge w:val="restart"/>
            <w:tcBorders>
              <w:top w:val="nil"/>
              <w:left w:val="single" w:sz="4" w:space="0" w:color="auto"/>
              <w:right w:val="nil"/>
            </w:tcBorders>
            <w:vAlign w:val="center"/>
          </w:tcPr>
          <w:p w:rsidR="007A792F" w:rsidRPr="003770C9" w:rsidRDefault="007A792F" w:rsidP="00963859">
            <w:pPr>
              <w:autoSpaceDE w:val="0"/>
              <w:autoSpaceDN w:val="0"/>
              <w:adjustRightInd w:val="0"/>
              <w:spacing w:before="20" w:after="20"/>
              <w:jc w:val="center"/>
              <w:rPr>
                <w:bCs/>
              </w:rPr>
            </w:pPr>
            <w:r>
              <w:rPr>
                <w:bCs/>
              </w:rPr>
              <w:t>PM</w:t>
            </w:r>
            <w:r w:rsidRPr="00F04C61">
              <w:rPr>
                <w:bCs/>
                <w:vertAlign w:val="subscript"/>
              </w:rPr>
              <w:t>10</w:t>
            </w:r>
          </w:p>
        </w:tc>
        <w:tc>
          <w:tcPr>
            <w:tcW w:w="2340" w:type="dxa"/>
            <w:tcBorders>
              <w:top w:val="single" w:sz="4" w:space="0" w:color="auto"/>
              <w:left w:val="nil"/>
              <w:bottom w:val="nil"/>
              <w:right w:val="nil"/>
            </w:tcBorders>
            <w:vAlign w:val="center"/>
          </w:tcPr>
          <w:p w:rsidR="007A792F" w:rsidRDefault="007A792F" w:rsidP="00963859">
            <w:pPr>
              <w:autoSpaceDE w:val="0"/>
              <w:autoSpaceDN w:val="0"/>
              <w:adjustRightInd w:val="0"/>
              <w:spacing w:before="20" w:after="20"/>
              <w:jc w:val="center"/>
              <w:rPr>
                <w:bCs/>
              </w:rPr>
            </w:pPr>
            <w:r>
              <w:rPr>
                <w:bCs/>
              </w:rPr>
              <w:t>Lakeland, FL</w:t>
            </w:r>
          </w:p>
        </w:tc>
        <w:tc>
          <w:tcPr>
            <w:tcW w:w="1440" w:type="dxa"/>
            <w:vMerge w:val="restart"/>
            <w:tcBorders>
              <w:top w:val="single" w:sz="4" w:space="0" w:color="auto"/>
              <w:left w:val="nil"/>
              <w:bottom w:val="nil"/>
              <w:right w:val="nil"/>
            </w:tcBorders>
            <w:vAlign w:val="center"/>
          </w:tcPr>
          <w:p w:rsidR="007A792F" w:rsidRDefault="007A792F" w:rsidP="00963859">
            <w:pPr>
              <w:autoSpaceDE w:val="0"/>
              <w:autoSpaceDN w:val="0"/>
              <w:adjustRightInd w:val="0"/>
              <w:spacing w:before="20" w:after="20"/>
              <w:jc w:val="center"/>
            </w:pPr>
            <w:r>
              <w:t>24-hour</w:t>
            </w:r>
          </w:p>
        </w:tc>
        <w:tc>
          <w:tcPr>
            <w:tcW w:w="2039" w:type="dxa"/>
            <w:vMerge w:val="restart"/>
            <w:tcBorders>
              <w:top w:val="single" w:sz="4" w:space="0" w:color="auto"/>
              <w:left w:val="nil"/>
              <w:bottom w:val="nil"/>
              <w:right w:val="nil"/>
            </w:tcBorders>
            <w:vAlign w:val="center"/>
          </w:tcPr>
          <w:p w:rsidR="007A792F" w:rsidRDefault="007A792F" w:rsidP="00963859">
            <w:pPr>
              <w:autoSpaceDE w:val="0"/>
              <w:autoSpaceDN w:val="0"/>
              <w:adjustRightInd w:val="0"/>
              <w:spacing w:before="20" w:after="20"/>
              <w:jc w:val="center"/>
            </w:pPr>
            <w:r>
              <w:t>2015</w:t>
            </w:r>
          </w:p>
        </w:tc>
        <w:tc>
          <w:tcPr>
            <w:tcW w:w="810" w:type="dxa"/>
            <w:vMerge w:val="restart"/>
            <w:tcBorders>
              <w:top w:val="single" w:sz="4" w:space="0" w:color="auto"/>
              <w:left w:val="nil"/>
              <w:bottom w:val="nil"/>
              <w:right w:val="nil"/>
            </w:tcBorders>
            <w:vAlign w:val="center"/>
          </w:tcPr>
          <w:p w:rsidR="007A792F" w:rsidRDefault="007A792F" w:rsidP="00963859">
            <w:pPr>
              <w:autoSpaceDE w:val="0"/>
              <w:autoSpaceDN w:val="0"/>
              <w:adjustRightInd w:val="0"/>
              <w:spacing w:before="20" w:after="20"/>
              <w:jc w:val="center"/>
            </w:pPr>
            <w:r>
              <w:t>40</w:t>
            </w:r>
            <w:r w:rsidRPr="00F04C61">
              <w:rPr>
                <w:vertAlign w:val="superscript"/>
              </w:rPr>
              <w:t>b</w:t>
            </w:r>
          </w:p>
        </w:tc>
        <w:tc>
          <w:tcPr>
            <w:tcW w:w="1150" w:type="dxa"/>
            <w:vMerge w:val="restart"/>
            <w:tcBorders>
              <w:top w:val="single" w:sz="4" w:space="0" w:color="auto"/>
              <w:left w:val="nil"/>
              <w:bottom w:val="nil"/>
              <w:right w:val="nil"/>
            </w:tcBorders>
            <w:vAlign w:val="center"/>
          </w:tcPr>
          <w:p w:rsidR="007A792F" w:rsidRDefault="007A792F" w:rsidP="00963859">
            <w:pPr>
              <w:autoSpaceDE w:val="0"/>
              <w:autoSpaceDN w:val="0"/>
              <w:adjustRightInd w:val="0"/>
              <w:spacing w:before="20" w:after="20"/>
              <w:jc w:val="center"/>
            </w:pPr>
            <w:r>
              <w:t>150</w:t>
            </w:r>
            <w:r w:rsidRPr="00F04C61">
              <w:rPr>
                <w:vertAlign w:val="superscript"/>
              </w:rPr>
              <w:t>c</w:t>
            </w:r>
          </w:p>
        </w:tc>
        <w:tc>
          <w:tcPr>
            <w:tcW w:w="900" w:type="dxa"/>
            <w:vMerge w:val="restart"/>
            <w:tcBorders>
              <w:top w:val="single" w:sz="4" w:space="0" w:color="auto"/>
              <w:left w:val="nil"/>
              <w:bottom w:val="nil"/>
              <w:right w:val="single" w:sz="4" w:space="0" w:color="auto"/>
            </w:tcBorders>
            <w:vAlign w:val="center"/>
          </w:tcPr>
          <w:p w:rsidR="007A792F" w:rsidRDefault="007A792F" w:rsidP="00963859">
            <w:pPr>
              <w:autoSpaceDE w:val="0"/>
              <w:autoSpaceDN w:val="0"/>
              <w:adjustRightInd w:val="0"/>
              <w:spacing w:before="20" w:after="20"/>
              <w:jc w:val="center"/>
            </w:pPr>
            <w:r>
              <w:t>µg/m</w:t>
            </w:r>
            <w:r w:rsidRPr="001143F9">
              <w:rPr>
                <w:vertAlign w:val="superscript"/>
              </w:rPr>
              <w:t>3</w:t>
            </w:r>
          </w:p>
        </w:tc>
      </w:tr>
      <w:tr w:rsidR="007A792F" w:rsidRPr="003A3B75" w:rsidTr="007A792F">
        <w:trPr>
          <w:cantSplit/>
          <w:trHeight w:val="292"/>
        </w:trPr>
        <w:tc>
          <w:tcPr>
            <w:tcW w:w="1260" w:type="dxa"/>
            <w:vMerge/>
            <w:tcBorders>
              <w:left w:val="single" w:sz="4" w:space="0" w:color="auto"/>
              <w:right w:val="nil"/>
            </w:tcBorders>
            <w:vAlign w:val="center"/>
          </w:tcPr>
          <w:p w:rsidR="007A792F" w:rsidRDefault="007A792F" w:rsidP="00963859">
            <w:pPr>
              <w:autoSpaceDE w:val="0"/>
              <w:autoSpaceDN w:val="0"/>
              <w:adjustRightInd w:val="0"/>
              <w:spacing w:before="20" w:after="20"/>
              <w:jc w:val="center"/>
              <w:rPr>
                <w:bCs/>
              </w:rPr>
            </w:pPr>
          </w:p>
        </w:tc>
        <w:tc>
          <w:tcPr>
            <w:tcW w:w="2340" w:type="dxa"/>
            <w:tcBorders>
              <w:top w:val="nil"/>
              <w:left w:val="nil"/>
              <w:bottom w:val="nil"/>
              <w:right w:val="nil"/>
            </w:tcBorders>
            <w:vAlign w:val="center"/>
          </w:tcPr>
          <w:p w:rsidR="007A792F" w:rsidRDefault="007A792F" w:rsidP="00963859">
            <w:pPr>
              <w:autoSpaceDE w:val="0"/>
              <w:autoSpaceDN w:val="0"/>
              <w:adjustRightInd w:val="0"/>
              <w:spacing w:before="20" w:after="20"/>
              <w:jc w:val="center"/>
              <w:rPr>
                <w:bCs/>
              </w:rPr>
            </w:pPr>
            <w:r>
              <w:rPr>
                <w:bCs/>
              </w:rPr>
              <w:t>(105-6006)</w:t>
            </w:r>
          </w:p>
        </w:tc>
        <w:tc>
          <w:tcPr>
            <w:tcW w:w="1440" w:type="dxa"/>
            <w:vMerge/>
            <w:tcBorders>
              <w:top w:val="nil"/>
              <w:left w:val="nil"/>
              <w:bottom w:val="nil"/>
              <w:right w:val="nil"/>
            </w:tcBorders>
            <w:vAlign w:val="center"/>
          </w:tcPr>
          <w:p w:rsidR="007A792F" w:rsidRDefault="007A792F" w:rsidP="00963859">
            <w:pPr>
              <w:autoSpaceDE w:val="0"/>
              <w:autoSpaceDN w:val="0"/>
              <w:adjustRightInd w:val="0"/>
              <w:spacing w:before="20" w:after="20"/>
              <w:jc w:val="center"/>
            </w:pPr>
          </w:p>
        </w:tc>
        <w:tc>
          <w:tcPr>
            <w:tcW w:w="2039" w:type="dxa"/>
            <w:vMerge/>
            <w:tcBorders>
              <w:top w:val="nil"/>
              <w:left w:val="nil"/>
              <w:bottom w:val="nil"/>
              <w:right w:val="nil"/>
            </w:tcBorders>
            <w:vAlign w:val="center"/>
          </w:tcPr>
          <w:p w:rsidR="007A792F" w:rsidRDefault="007A792F" w:rsidP="00963859">
            <w:pPr>
              <w:autoSpaceDE w:val="0"/>
              <w:autoSpaceDN w:val="0"/>
              <w:adjustRightInd w:val="0"/>
              <w:spacing w:before="20" w:after="20"/>
              <w:jc w:val="center"/>
            </w:pPr>
          </w:p>
        </w:tc>
        <w:tc>
          <w:tcPr>
            <w:tcW w:w="810" w:type="dxa"/>
            <w:vMerge/>
            <w:tcBorders>
              <w:top w:val="nil"/>
              <w:left w:val="nil"/>
              <w:bottom w:val="nil"/>
              <w:right w:val="nil"/>
            </w:tcBorders>
            <w:vAlign w:val="center"/>
          </w:tcPr>
          <w:p w:rsidR="007A792F" w:rsidRDefault="007A792F" w:rsidP="00963859">
            <w:pPr>
              <w:autoSpaceDE w:val="0"/>
              <w:autoSpaceDN w:val="0"/>
              <w:adjustRightInd w:val="0"/>
              <w:spacing w:before="20" w:after="20"/>
              <w:jc w:val="center"/>
            </w:pPr>
          </w:p>
        </w:tc>
        <w:tc>
          <w:tcPr>
            <w:tcW w:w="1150" w:type="dxa"/>
            <w:vMerge/>
            <w:tcBorders>
              <w:top w:val="nil"/>
              <w:left w:val="nil"/>
              <w:bottom w:val="nil"/>
              <w:right w:val="nil"/>
            </w:tcBorders>
            <w:vAlign w:val="center"/>
          </w:tcPr>
          <w:p w:rsidR="007A792F" w:rsidRDefault="007A792F" w:rsidP="00963859">
            <w:pPr>
              <w:autoSpaceDE w:val="0"/>
              <w:autoSpaceDN w:val="0"/>
              <w:adjustRightInd w:val="0"/>
              <w:spacing w:before="20" w:after="20"/>
              <w:jc w:val="center"/>
            </w:pPr>
          </w:p>
        </w:tc>
        <w:tc>
          <w:tcPr>
            <w:tcW w:w="900" w:type="dxa"/>
            <w:vMerge/>
            <w:tcBorders>
              <w:top w:val="nil"/>
              <w:left w:val="nil"/>
              <w:bottom w:val="nil"/>
              <w:right w:val="single" w:sz="4" w:space="0" w:color="auto"/>
            </w:tcBorders>
            <w:vAlign w:val="center"/>
          </w:tcPr>
          <w:p w:rsidR="007A792F" w:rsidRDefault="007A792F" w:rsidP="00963859">
            <w:pPr>
              <w:autoSpaceDE w:val="0"/>
              <w:autoSpaceDN w:val="0"/>
              <w:adjustRightInd w:val="0"/>
              <w:spacing w:before="20" w:after="20"/>
              <w:jc w:val="center"/>
            </w:pPr>
          </w:p>
        </w:tc>
      </w:tr>
      <w:tr w:rsidR="007A792F" w:rsidRPr="003A3B75" w:rsidTr="007A792F">
        <w:trPr>
          <w:cantSplit/>
          <w:trHeight w:val="293"/>
        </w:trPr>
        <w:tc>
          <w:tcPr>
            <w:tcW w:w="1260" w:type="dxa"/>
            <w:vMerge w:val="restart"/>
            <w:tcBorders>
              <w:top w:val="nil"/>
              <w:left w:val="single" w:sz="4" w:space="0" w:color="auto"/>
              <w:right w:val="nil"/>
            </w:tcBorders>
            <w:vAlign w:val="center"/>
          </w:tcPr>
          <w:p w:rsidR="007A792F" w:rsidRDefault="007A792F" w:rsidP="00963859">
            <w:pPr>
              <w:autoSpaceDE w:val="0"/>
              <w:autoSpaceDN w:val="0"/>
              <w:adjustRightInd w:val="0"/>
              <w:spacing w:before="20" w:after="20"/>
              <w:jc w:val="center"/>
              <w:rPr>
                <w:bCs/>
              </w:rPr>
            </w:pPr>
            <w:r>
              <w:rPr>
                <w:bCs/>
              </w:rPr>
              <w:t>PM</w:t>
            </w:r>
            <w:r w:rsidRPr="001143F9">
              <w:rPr>
                <w:bCs/>
                <w:vertAlign w:val="subscript"/>
              </w:rPr>
              <w:t>2.5</w:t>
            </w:r>
          </w:p>
        </w:tc>
        <w:tc>
          <w:tcPr>
            <w:tcW w:w="2340" w:type="dxa"/>
            <w:tcBorders>
              <w:top w:val="single" w:sz="4" w:space="0" w:color="auto"/>
              <w:left w:val="nil"/>
              <w:bottom w:val="nil"/>
              <w:right w:val="nil"/>
            </w:tcBorders>
            <w:vAlign w:val="center"/>
          </w:tcPr>
          <w:p w:rsidR="007A792F" w:rsidRDefault="007A792F" w:rsidP="00963859">
            <w:pPr>
              <w:autoSpaceDE w:val="0"/>
              <w:autoSpaceDN w:val="0"/>
              <w:adjustRightInd w:val="0"/>
              <w:spacing w:before="20" w:after="20"/>
              <w:jc w:val="center"/>
              <w:rPr>
                <w:bCs/>
              </w:rPr>
            </w:pPr>
            <w:r>
              <w:rPr>
                <w:bCs/>
              </w:rPr>
              <w:t>Lakeland, FL</w:t>
            </w:r>
          </w:p>
        </w:tc>
        <w:tc>
          <w:tcPr>
            <w:tcW w:w="1440" w:type="dxa"/>
            <w:tcBorders>
              <w:top w:val="single" w:sz="4" w:space="0" w:color="auto"/>
              <w:left w:val="nil"/>
              <w:bottom w:val="nil"/>
              <w:right w:val="nil"/>
            </w:tcBorders>
            <w:vAlign w:val="center"/>
          </w:tcPr>
          <w:p w:rsidR="007A792F" w:rsidRDefault="007A792F" w:rsidP="00963859">
            <w:pPr>
              <w:autoSpaceDE w:val="0"/>
              <w:autoSpaceDN w:val="0"/>
              <w:adjustRightInd w:val="0"/>
              <w:spacing w:before="20" w:after="20"/>
              <w:jc w:val="center"/>
            </w:pPr>
            <w:r>
              <w:t>24-hour</w:t>
            </w:r>
          </w:p>
        </w:tc>
        <w:tc>
          <w:tcPr>
            <w:tcW w:w="2039" w:type="dxa"/>
            <w:tcBorders>
              <w:top w:val="single" w:sz="4" w:space="0" w:color="auto"/>
              <w:left w:val="nil"/>
              <w:bottom w:val="nil"/>
              <w:right w:val="nil"/>
            </w:tcBorders>
            <w:vAlign w:val="center"/>
          </w:tcPr>
          <w:p w:rsidR="007A792F" w:rsidRDefault="007A792F" w:rsidP="00963859">
            <w:pPr>
              <w:autoSpaceDE w:val="0"/>
              <w:autoSpaceDN w:val="0"/>
              <w:adjustRightInd w:val="0"/>
              <w:spacing w:before="20" w:after="20"/>
              <w:jc w:val="center"/>
            </w:pPr>
            <w:r>
              <w:t>2013 – 2015</w:t>
            </w:r>
          </w:p>
        </w:tc>
        <w:tc>
          <w:tcPr>
            <w:tcW w:w="810" w:type="dxa"/>
            <w:tcBorders>
              <w:top w:val="single" w:sz="4" w:space="0" w:color="auto"/>
              <w:left w:val="nil"/>
              <w:bottom w:val="nil"/>
              <w:right w:val="nil"/>
            </w:tcBorders>
            <w:vAlign w:val="center"/>
          </w:tcPr>
          <w:p w:rsidR="007A792F" w:rsidRDefault="007A792F" w:rsidP="00963859">
            <w:pPr>
              <w:autoSpaceDE w:val="0"/>
              <w:autoSpaceDN w:val="0"/>
              <w:adjustRightInd w:val="0"/>
              <w:spacing w:before="20" w:after="20"/>
              <w:jc w:val="center"/>
            </w:pPr>
            <w:r>
              <w:t>14</w:t>
            </w:r>
          </w:p>
        </w:tc>
        <w:tc>
          <w:tcPr>
            <w:tcW w:w="1150" w:type="dxa"/>
            <w:tcBorders>
              <w:top w:val="single" w:sz="4" w:space="0" w:color="auto"/>
              <w:left w:val="nil"/>
              <w:bottom w:val="nil"/>
              <w:right w:val="nil"/>
            </w:tcBorders>
            <w:vAlign w:val="center"/>
          </w:tcPr>
          <w:p w:rsidR="007A792F" w:rsidRDefault="007A792F" w:rsidP="00963859">
            <w:pPr>
              <w:autoSpaceDE w:val="0"/>
              <w:autoSpaceDN w:val="0"/>
              <w:adjustRightInd w:val="0"/>
              <w:spacing w:before="20" w:after="20"/>
              <w:jc w:val="center"/>
            </w:pPr>
            <w:r>
              <w:t>35</w:t>
            </w:r>
            <w:r w:rsidRPr="005F430B">
              <w:rPr>
                <w:vertAlign w:val="superscript"/>
              </w:rPr>
              <w:t>d</w:t>
            </w:r>
          </w:p>
        </w:tc>
        <w:tc>
          <w:tcPr>
            <w:tcW w:w="900" w:type="dxa"/>
            <w:tcBorders>
              <w:top w:val="single" w:sz="4" w:space="0" w:color="auto"/>
              <w:left w:val="nil"/>
              <w:bottom w:val="nil"/>
              <w:right w:val="single" w:sz="4" w:space="0" w:color="auto"/>
            </w:tcBorders>
            <w:vAlign w:val="center"/>
          </w:tcPr>
          <w:p w:rsidR="007A792F" w:rsidRDefault="007A792F" w:rsidP="00963859">
            <w:pPr>
              <w:autoSpaceDE w:val="0"/>
              <w:autoSpaceDN w:val="0"/>
              <w:adjustRightInd w:val="0"/>
              <w:spacing w:before="20" w:after="20"/>
              <w:jc w:val="center"/>
            </w:pPr>
            <w:r>
              <w:t>µg/m</w:t>
            </w:r>
            <w:r w:rsidRPr="001143F9">
              <w:rPr>
                <w:vertAlign w:val="superscript"/>
              </w:rPr>
              <w:t>3</w:t>
            </w:r>
          </w:p>
        </w:tc>
      </w:tr>
      <w:tr w:rsidR="007A792F" w:rsidRPr="003A3B75" w:rsidTr="007A792F">
        <w:trPr>
          <w:cantSplit/>
          <w:trHeight w:val="292"/>
        </w:trPr>
        <w:tc>
          <w:tcPr>
            <w:tcW w:w="1260" w:type="dxa"/>
            <w:vMerge/>
            <w:tcBorders>
              <w:left w:val="single" w:sz="4" w:space="0" w:color="auto"/>
              <w:right w:val="nil"/>
            </w:tcBorders>
            <w:vAlign w:val="center"/>
          </w:tcPr>
          <w:p w:rsidR="007A792F" w:rsidRDefault="007A792F" w:rsidP="00963859">
            <w:pPr>
              <w:autoSpaceDE w:val="0"/>
              <w:autoSpaceDN w:val="0"/>
              <w:adjustRightInd w:val="0"/>
              <w:spacing w:before="20" w:after="20"/>
              <w:jc w:val="center"/>
              <w:rPr>
                <w:bCs/>
              </w:rPr>
            </w:pPr>
          </w:p>
        </w:tc>
        <w:tc>
          <w:tcPr>
            <w:tcW w:w="2340" w:type="dxa"/>
            <w:tcBorders>
              <w:top w:val="nil"/>
              <w:left w:val="nil"/>
              <w:right w:val="nil"/>
            </w:tcBorders>
            <w:vAlign w:val="center"/>
          </w:tcPr>
          <w:p w:rsidR="007A792F" w:rsidRDefault="007A792F" w:rsidP="00963859">
            <w:pPr>
              <w:autoSpaceDE w:val="0"/>
              <w:autoSpaceDN w:val="0"/>
              <w:adjustRightInd w:val="0"/>
              <w:spacing w:before="20" w:after="20"/>
              <w:jc w:val="center"/>
              <w:rPr>
                <w:bCs/>
              </w:rPr>
            </w:pPr>
            <w:r>
              <w:rPr>
                <w:bCs/>
              </w:rPr>
              <w:t>(105-6006)</w:t>
            </w:r>
          </w:p>
        </w:tc>
        <w:tc>
          <w:tcPr>
            <w:tcW w:w="1440" w:type="dxa"/>
            <w:tcBorders>
              <w:top w:val="nil"/>
              <w:left w:val="nil"/>
              <w:right w:val="nil"/>
            </w:tcBorders>
            <w:vAlign w:val="center"/>
          </w:tcPr>
          <w:p w:rsidR="007A792F" w:rsidRDefault="007A792F" w:rsidP="00963859">
            <w:pPr>
              <w:autoSpaceDE w:val="0"/>
              <w:autoSpaceDN w:val="0"/>
              <w:adjustRightInd w:val="0"/>
              <w:spacing w:before="20" w:after="20"/>
              <w:jc w:val="center"/>
            </w:pPr>
            <w:r>
              <w:t>Annual</w:t>
            </w:r>
          </w:p>
        </w:tc>
        <w:tc>
          <w:tcPr>
            <w:tcW w:w="2039" w:type="dxa"/>
            <w:tcBorders>
              <w:top w:val="nil"/>
              <w:left w:val="nil"/>
              <w:right w:val="nil"/>
            </w:tcBorders>
            <w:vAlign w:val="center"/>
          </w:tcPr>
          <w:p w:rsidR="007A792F" w:rsidRDefault="007A792F" w:rsidP="00963859">
            <w:pPr>
              <w:autoSpaceDE w:val="0"/>
              <w:autoSpaceDN w:val="0"/>
              <w:adjustRightInd w:val="0"/>
              <w:spacing w:before="20" w:after="20"/>
              <w:jc w:val="center"/>
            </w:pPr>
            <w:r>
              <w:t>2013 – 2015</w:t>
            </w:r>
          </w:p>
        </w:tc>
        <w:tc>
          <w:tcPr>
            <w:tcW w:w="810" w:type="dxa"/>
            <w:tcBorders>
              <w:top w:val="nil"/>
              <w:left w:val="nil"/>
              <w:right w:val="nil"/>
            </w:tcBorders>
            <w:vAlign w:val="center"/>
          </w:tcPr>
          <w:p w:rsidR="007A792F" w:rsidRDefault="007A792F" w:rsidP="00963859">
            <w:pPr>
              <w:autoSpaceDE w:val="0"/>
              <w:autoSpaceDN w:val="0"/>
              <w:adjustRightInd w:val="0"/>
              <w:spacing w:before="20" w:after="20"/>
              <w:jc w:val="center"/>
            </w:pPr>
            <w:r>
              <w:t>6.5</w:t>
            </w:r>
          </w:p>
        </w:tc>
        <w:tc>
          <w:tcPr>
            <w:tcW w:w="1150" w:type="dxa"/>
            <w:tcBorders>
              <w:top w:val="nil"/>
              <w:left w:val="nil"/>
              <w:right w:val="nil"/>
            </w:tcBorders>
            <w:vAlign w:val="center"/>
          </w:tcPr>
          <w:p w:rsidR="007A792F" w:rsidRDefault="007A792F" w:rsidP="00963859">
            <w:pPr>
              <w:autoSpaceDE w:val="0"/>
              <w:autoSpaceDN w:val="0"/>
              <w:adjustRightInd w:val="0"/>
              <w:spacing w:before="20" w:after="20"/>
              <w:jc w:val="center"/>
            </w:pPr>
            <w:r>
              <w:t>12.0</w:t>
            </w:r>
            <w:r w:rsidRPr="005F430B">
              <w:rPr>
                <w:vertAlign w:val="superscript"/>
              </w:rPr>
              <w:t>e</w:t>
            </w:r>
          </w:p>
        </w:tc>
        <w:tc>
          <w:tcPr>
            <w:tcW w:w="900" w:type="dxa"/>
            <w:tcBorders>
              <w:top w:val="nil"/>
              <w:left w:val="nil"/>
              <w:right w:val="single" w:sz="4" w:space="0" w:color="auto"/>
            </w:tcBorders>
            <w:vAlign w:val="center"/>
          </w:tcPr>
          <w:p w:rsidR="007A792F" w:rsidRDefault="007A792F" w:rsidP="00963859">
            <w:pPr>
              <w:autoSpaceDE w:val="0"/>
              <w:autoSpaceDN w:val="0"/>
              <w:adjustRightInd w:val="0"/>
              <w:spacing w:before="20" w:after="20"/>
              <w:jc w:val="center"/>
            </w:pPr>
            <w:r>
              <w:t>µg/m</w:t>
            </w:r>
            <w:r w:rsidRPr="001143F9">
              <w:rPr>
                <w:vertAlign w:val="superscript"/>
              </w:rPr>
              <w:t>3</w:t>
            </w:r>
          </w:p>
        </w:tc>
      </w:tr>
      <w:tr w:rsidR="007A792F" w:rsidRPr="003A3B75" w:rsidTr="007A792F">
        <w:trPr>
          <w:cantSplit/>
          <w:trHeight w:val="458"/>
        </w:trPr>
        <w:tc>
          <w:tcPr>
            <w:tcW w:w="9939" w:type="dxa"/>
            <w:gridSpan w:val="7"/>
            <w:tcBorders>
              <w:top w:val="single" w:sz="4" w:space="0" w:color="auto"/>
              <w:left w:val="single" w:sz="4" w:space="0" w:color="auto"/>
              <w:bottom w:val="single" w:sz="4" w:space="0" w:color="auto"/>
              <w:right w:val="single" w:sz="4" w:space="0" w:color="auto"/>
            </w:tcBorders>
            <w:vAlign w:val="center"/>
          </w:tcPr>
          <w:p w:rsidR="007A792F" w:rsidRDefault="007A792F" w:rsidP="00963859">
            <w:pPr>
              <w:numPr>
                <w:ilvl w:val="0"/>
                <w:numId w:val="35"/>
              </w:numPr>
              <w:tabs>
                <w:tab w:val="clear" w:pos="1440"/>
                <w:tab w:val="num" w:pos="342"/>
              </w:tabs>
              <w:autoSpaceDE w:val="0"/>
              <w:autoSpaceDN w:val="0"/>
              <w:adjustRightInd w:val="0"/>
              <w:ind w:hanging="1458"/>
              <w:rPr>
                <w:sz w:val="16"/>
                <w:szCs w:val="16"/>
              </w:rPr>
            </w:pPr>
            <w:r>
              <w:rPr>
                <w:sz w:val="16"/>
                <w:szCs w:val="16"/>
              </w:rPr>
              <w:t xml:space="preserve">Units are in: micrograms per </w:t>
            </w:r>
            <w:r w:rsidRPr="00F04C61">
              <w:rPr>
                <w:sz w:val="16"/>
                <w:szCs w:val="16"/>
              </w:rPr>
              <w:t>cubic meter (µg/m</w:t>
            </w:r>
            <w:r w:rsidRPr="00F04C61">
              <w:rPr>
                <w:sz w:val="16"/>
                <w:szCs w:val="16"/>
                <w:vertAlign w:val="superscript"/>
              </w:rPr>
              <w:t>3</w:t>
            </w:r>
            <w:r w:rsidRPr="00F04C61">
              <w:rPr>
                <w:sz w:val="16"/>
                <w:szCs w:val="16"/>
              </w:rPr>
              <w:t>)</w:t>
            </w:r>
          </w:p>
          <w:p w:rsidR="007A792F" w:rsidRDefault="007A792F" w:rsidP="00963859">
            <w:pPr>
              <w:numPr>
                <w:ilvl w:val="0"/>
                <w:numId w:val="35"/>
              </w:numPr>
              <w:tabs>
                <w:tab w:val="clear" w:pos="1440"/>
                <w:tab w:val="num" w:pos="342"/>
              </w:tabs>
              <w:autoSpaceDE w:val="0"/>
              <w:autoSpaceDN w:val="0"/>
              <w:adjustRightInd w:val="0"/>
              <w:ind w:hanging="1458"/>
              <w:rPr>
                <w:sz w:val="16"/>
                <w:szCs w:val="16"/>
              </w:rPr>
            </w:pPr>
            <w:r>
              <w:rPr>
                <w:sz w:val="16"/>
                <w:szCs w:val="16"/>
              </w:rPr>
              <w:t>Exceedance based standard – Second highest 2015 concentration given for comparison.</w:t>
            </w:r>
          </w:p>
          <w:p w:rsidR="007A792F" w:rsidRDefault="007A792F" w:rsidP="00963859">
            <w:pPr>
              <w:numPr>
                <w:ilvl w:val="0"/>
                <w:numId w:val="35"/>
              </w:numPr>
              <w:tabs>
                <w:tab w:val="clear" w:pos="1440"/>
                <w:tab w:val="num" w:pos="342"/>
              </w:tabs>
              <w:autoSpaceDE w:val="0"/>
              <w:autoSpaceDN w:val="0"/>
              <w:adjustRightInd w:val="0"/>
              <w:ind w:hanging="1458"/>
              <w:rPr>
                <w:sz w:val="16"/>
                <w:szCs w:val="16"/>
              </w:rPr>
            </w:pPr>
            <w:r>
              <w:rPr>
                <w:sz w:val="16"/>
                <w:szCs w:val="16"/>
              </w:rPr>
              <w:t>Not to be exceeded more than once per year on average over a three-year period.</w:t>
            </w:r>
          </w:p>
          <w:p w:rsidR="007A792F" w:rsidRDefault="007A792F" w:rsidP="00963859">
            <w:pPr>
              <w:numPr>
                <w:ilvl w:val="0"/>
                <w:numId w:val="35"/>
              </w:numPr>
              <w:tabs>
                <w:tab w:val="clear" w:pos="1440"/>
                <w:tab w:val="num" w:pos="342"/>
              </w:tabs>
              <w:autoSpaceDE w:val="0"/>
              <w:autoSpaceDN w:val="0"/>
              <w:adjustRightInd w:val="0"/>
              <w:ind w:hanging="1458"/>
              <w:rPr>
                <w:sz w:val="16"/>
                <w:szCs w:val="16"/>
              </w:rPr>
            </w:pPr>
            <w:r>
              <w:rPr>
                <w:sz w:val="16"/>
                <w:szCs w:val="16"/>
              </w:rPr>
              <w:t>Three-year average of the annual 98</w:t>
            </w:r>
            <w:r w:rsidRPr="00F04C61">
              <w:rPr>
                <w:sz w:val="16"/>
                <w:szCs w:val="16"/>
                <w:vertAlign w:val="superscript"/>
              </w:rPr>
              <w:t>th</w:t>
            </w:r>
            <w:r>
              <w:rPr>
                <w:sz w:val="16"/>
                <w:szCs w:val="16"/>
              </w:rPr>
              <w:t xml:space="preserve"> percentile, daily 24-hour average concentrations.</w:t>
            </w:r>
          </w:p>
          <w:p w:rsidR="007A792F" w:rsidRPr="00AF052A" w:rsidRDefault="007A792F" w:rsidP="00963859">
            <w:pPr>
              <w:numPr>
                <w:ilvl w:val="0"/>
                <w:numId w:val="35"/>
              </w:numPr>
              <w:tabs>
                <w:tab w:val="clear" w:pos="1440"/>
                <w:tab w:val="num" w:pos="342"/>
              </w:tabs>
              <w:autoSpaceDE w:val="0"/>
              <w:autoSpaceDN w:val="0"/>
              <w:adjustRightInd w:val="0"/>
              <w:ind w:hanging="1458"/>
              <w:rPr>
                <w:sz w:val="16"/>
                <w:szCs w:val="16"/>
              </w:rPr>
            </w:pPr>
            <w:r>
              <w:rPr>
                <w:sz w:val="16"/>
                <w:szCs w:val="16"/>
              </w:rPr>
              <w:t>Three-year average of the arithmetic annual means.</w:t>
            </w:r>
          </w:p>
        </w:tc>
      </w:tr>
    </w:tbl>
    <w:p w:rsidR="007A792F" w:rsidRDefault="007A792F" w:rsidP="00963859">
      <w:pPr>
        <w:pStyle w:val="ListParagraph"/>
        <w:widowControl w:val="0"/>
        <w:numPr>
          <w:ilvl w:val="1"/>
          <w:numId w:val="15"/>
        </w:numPr>
        <w:spacing w:before="120" w:after="120"/>
        <w:ind w:left="720" w:hanging="720"/>
        <w:contextualSpacing w:val="0"/>
        <w:rPr>
          <w:b/>
          <w:sz w:val="22"/>
          <w:szCs w:val="22"/>
        </w:rPr>
      </w:pPr>
      <w:r>
        <w:rPr>
          <w:b/>
          <w:sz w:val="22"/>
          <w:szCs w:val="22"/>
        </w:rPr>
        <w:t>Source Impact Analysis</w:t>
      </w:r>
    </w:p>
    <w:p w:rsidR="007A792F" w:rsidRDefault="007A792F" w:rsidP="00155062">
      <w:pPr>
        <w:spacing w:after="120"/>
        <w:rPr>
          <w:sz w:val="22"/>
          <w:szCs w:val="22"/>
        </w:rPr>
      </w:pPr>
      <w:r w:rsidRPr="00D453A0">
        <w:rPr>
          <w:sz w:val="22"/>
          <w:szCs w:val="22"/>
        </w:rPr>
        <w:t>A source impact analysis is required by Rule 62-212.400(5), F.A.C. to demonstrate that allowable emission increases from the proposed project will not cause or contribute to a violation of any NAAQS or PSD increment as defined in 40 CFR Part 50 and 40 CFR 52.21(c) respectively.  This analysis is performed using approved air quality models and analysis techniques as described in Appendix W (Guideline on Ai</w:t>
      </w:r>
      <w:r>
        <w:rPr>
          <w:sz w:val="22"/>
          <w:szCs w:val="22"/>
        </w:rPr>
        <w:t>r Quality Models) of 40 CFR 51.</w:t>
      </w:r>
    </w:p>
    <w:p w:rsidR="007A792F" w:rsidRPr="00155062" w:rsidRDefault="007A792F" w:rsidP="00963859">
      <w:pPr>
        <w:pStyle w:val="ListParagraph"/>
        <w:widowControl w:val="0"/>
        <w:numPr>
          <w:ilvl w:val="2"/>
          <w:numId w:val="15"/>
        </w:numPr>
        <w:spacing w:after="120"/>
        <w:ind w:left="720" w:hanging="720"/>
        <w:jc w:val="both"/>
        <w:rPr>
          <w:sz w:val="22"/>
          <w:szCs w:val="22"/>
          <w:u w:val="single"/>
        </w:rPr>
      </w:pPr>
      <w:r w:rsidRPr="00155062">
        <w:rPr>
          <w:sz w:val="22"/>
          <w:szCs w:val="22"/>
          <w:u w:val="single"/>
        </w:rPr>
        <w:t>Dispersion Modeling Approach</w:t>
      </w:r>
    </w:p>
    <w:p w:rsidR="007A792F" w:rsidRPr="006D4C38" w:rsidRDefault="007A792F" w:rsidP="00963859">
      <w:pPr>
        <w:spacing w:after="120"/>
        <w:rPr>
          <w:sz w:val="22"/>
          <w:szCs w:val="22"/>
        </w:rPr>
      </w:pPr>
      <w:r w:rsidRPr="006D4C38">
        <w:rPr>
          <w:sz w:val="22"/>
          <w:szCs w:val="22"/>
        </w:rPr>
        <w:t>Dispersion modeling for the source impact analysis typically occurs in six steps:</w:t>
      </w:r>
    </w:p>
    <w:p w:rsidR="007A792F" w:rsidRPr="006D4C38" w:rsidRDefault="007A792F" w:rsidP="00963859">
      <w:pPr>
        <w:pStyle w:val="ListParagraph"/>
        <w:numPr>
          <w:ilvl w:val="0"/>
          <w:numId w:val="32"/>
        </w:numPr>
        <w:autoSpaceDE w:val="0"/>
        <w:autoSpaceDN w:val="0"/>
        <w:adjustRightInd w:val="0"/>
        <w:spacing w:after="120"/>
        <w:ind w:left="360"/>
        <w:contextualSpacing w:val="0"/>
        <w:rPr>
          <w:sz w:val="22"/>
          <w:szCs w:val="22"/>
        </w:rPr>
      </w:pPr>
      <w:r w:rsidRPr="006D4C38">
        <w:rPr>
          <w:b/>
          <w:sz w:val="22"/>
          <w:szCs w:val="22"/>
        </w:rPr>
        <w:t>Class II SIL Analysis</w:t>
      </w:r>
      <w:r w:rsidRPr="006D4C38">
        <w:rPr>
          <w:sz w:val="22"/>
          <w:szCs w:val="22"/>
        </w:rPr>
        <w:t>: Initial modeling is performed to determine if the maximum predicted concentrations due to the new source(s) alone are likely to cause a significant impact on ambient air quality.  Modeling is performed using five years of actual meteorological data and the highest resultant concentrations are compared to the EPA suggested SILs for each pollutant that is subject to PSD review.  For each pollutant that is less than the SIL, steps two and three are skipped.  For all others, refined NAAQS and Class II increment analyses are required.</w:t>
      </w:r>
    </w:p>
    <w:p w:rsidR="007A792F" w:rsidRPr="006D4C38" w:rsidRDefault="007A792F" w:rsidP="00963859">
      <w:pPr>
        <w:pStyle w:val="ListParagraph"/>
        <w:numPr>
          <w:ilvl w:val="0"/>
          <w:numId w:val="32"/>
        </w:numPr>
        <w:autoSpaceDE w:val="0"/>
        <w:autoSpaceDN w:val="0"/>
        <w:adjustRightInd w:val="0"/>
        <w:spacing w:after="60"/>
        <w:ind w:left="360"/>
        <w:contextualSpacing w:val="0"/>
        <w:rPr>
          <w:sz w:val="22"/>
          <w:szCs w:val="22"/>
        </w:rPr>
      </w:pPr>
      <w:r w:rsidRPr="006D4C38">
        <w:rPr>
          <w:b/>
          <w:sz w:val="22"/>
          <w:szCs w:val="22"/>
        </w:rPr>
        <w:t>NAAQS Analysis</w:t>
      </w:r>
      <w:r w:rsidRPr="006D4C38">
        <w:rPr>
          <w:sz w:val="22"/>
          <w:szCs w:val="22"/>
        </w:rPr>
        <w:t>: Cumulative source modeling is performed for each pollutant and averaging time that exceeded the Class II SIL.  This analysis includes modeled emissions from all nearby sources that are considered to have a significant impact and a non-modeled background concentration intended to represent all other sources of pollutants.  The resulting concentrations are evaluated on a receptor-by-receptor basis for comparison to each NAAQS using the following methods:</w:t>
      </w:r>
    </w:p>
    <w:p w:rsidR="007A792F" w:rsidRPr="006D4C38" w:rsidRDefault="007A792F" w:rsidP="00963859">
      <w:pPr>
        <w:pStyle w:val="ListParagraph"/>
        <w:numPr>
          <w:ilvl w:val="0"/>
          <w:numId w:val="33"/>
        </w:numPr>
        <w:autoSpaceDE w:val="0"/>
        <w:autoSpaceDN w:val="0"/>
        <w:adjustRightInd w:val="0"/>
        <w:spacing w:after="60"/>
        <w:ind w:left="720"/>
        <w:contextualSpacing w:val="0"/>
        <w:rPr>
          <w:sz w:val="22"/>
          <w:szCs w:val="22"/>
        </w:rPr>
      </w:pPr>
      <w:r w:rsidRPr="006D4C38">
        <w:rPr>
          <w:sz w:val="22"/>
          <w:szCs w:val="22"/>
        </w:rPr>
        <w:t>PM</w:t>
      </w:r>
      <w:r w:rsidRPr="006D4C38">
        <w:rPr>
          <w:sz w:val="22"/>
          <w:szCs w:val="22"/>
          <w:vertAlign w:val="subscript"/>
        </w:rPr>
        <w:t>2.5</w:t>
      </w:r>
      <w:r w:rsidRPr="006D4C38">
        <w:rPr>
          <w:sz w:val="22"/>
          <w:szCs w:val="22"/>
        </w:rPr>
        <w:t xml:space="preserve"> 24-Hour Average: 5-year average of the yearly 8</w:t>
      </w:r>
      <w:r w:rsidRPr="006D4C38">
        <w:rPr>
          <w:sz w:val="22"/>
          <w:szCs w:val="22"/>
          <w:vertAlign w:val="superscript"/>
        </w:rPr>
        <w:t>th</w:t>
      </w:r>
      <w:r w:rsidRPr="006D4C38">
        <w:rPr>
          <w:sz w:val="22"/>
          <w:szCs w:val="22"/>
        </w:rPr>
        <w:t>-high 24-hour average concentration</w:t>
      </w:r>
    </w:p>
    <w:p w:rsidR="007A792F" w:rsidRPr="006D4C38" w:rsidRDefault="007A792F" w:rsidP="00963859">
      <w:pPr>
        <w:pStyle w:val="ListParagraph"/>
        <w:numPr>
          <w:ilvl w:val="0"/>
          <w:numId w:val="33"/>
        </w:numPr>
        <w:autoSpaceDE w:val="0"/>
        <w:autoSpaceDN w:val="0"/>
        <w:adjustRightInd w:val="0"/>
        <w:spacing w:after="60"/>
        <w:ind w:left="720"/>
        <w:contextualSpacing w:val="0"/>
        <w:rPr>
          <w:sz w:val="22"/>
          <w:szCs w:val="22"/>
        </w:rPr>
      </w:pPr>
      <w:r w:rsidRPr="006D4C38">
        <w:rPr>
          <w:sz w:val="22"/>
          <w:szCs w:val="22"/>
        </w:rPr>
        <w:t>PM</w:t>
      </w:r>
      <w:r w:rsidRPr="006D4C38">
        <w:rPr>
          <w:sz w:val="22"/>
          <w:szCs w:val="22"/>
          <w:vertAlign w:val="subscript"/>
        </w:rPr>
        <w:t>2.5</w:t>
      </w:r>
      <w:r w:rsidRPr="006D4C38">
        <w:rPr>
          <w:sz w:val="22"/>
          <w:szCs w:val="22"/>
        </w:rPr>
        <w:t xml:space="preserve"> Annual Average: 5-year average of the annual mean</w:t>
      </w:r>
    </w:p>
    <w:p w:rsidR="007A792F" w:rsidRPr="006D4C38" w:rsidRDefault="007A792F" w:rsidP="00963859">
      <w:pPr>
        <w:pStyle w:val="ListParagraph"/>
        <w:numPr>
          <w:ilvl w:val="0"/>
          <w:numId w:val="33"/>
        </w:numPr>
        <w:autoSpaceDE w:val="0"/>
        <w:autoSpaceDN w:val="0"/>
        <w:adjustRightInd w:val="0"/>
        <w:spacing w:after="60"/>
        <w:ind w:left="720"/>
        <w:contextualSpacing w:val="0"/>
        <w:rPr>
          <w:sz w:val="22"/>
          <w:szCs w:val="22"/>
        </w:rPr>
      </w:pPr>
      <w:r w:rsidRPr="006D4C38">
        <w:rPr>
          <w:sz w:val="22"/>
          <w:szCs w:val="22"/>
        </w:rPr>
        <w:t>PM</w:t>
      </w:r>
      <w:r w:rsidRPr="006D4C38">
        <w:rPr>
          <w:sz w:val="22"/>
          <w:szCs w:val="22"/>
          <w:vertAlign w:val="subscript"/>
        </w:rPr>
        <w:t>10</w:t>
      </w:r>
      <w:r w:rsidRPr="006D4C38">
        <w:rPr>
          <w:sz w:val="22"/>
          <w:szCs w:val="22"/>
        </w:rPr>
        <w:t xml:space="preserve"> 24-Hour Average: 6</w:t>
      </w:r>
      <w:r w:rsidRPr="006D4C38">
        <w:rPr>
          <w:sz w:val="22"/>
          <w:szCs w:val="22"/>
          <w:vertAlign w:val="superscript"/>
        </w:rPr>
        <w:t>th</w:t>
      </w:r>
      <w:r w:rsidRPr="006D4C38">
        <w:rPr>
          <w:sz w:val="22"/>
          <w:szCs w:val="22"/>
        </w:rPr>
        <w:t>-high 24-hour concentration over five years</w:t>
      </w:r>
    </w:p>
    <w:p w:rsidR="007A792F" w:rsidRPr="006D4C38" w:rsidRDefault="007A792F" w:rsidP="00963859">
      <w:pPr>
        <w:pStyle w:val="ListParagraph"/>
        <w:numPr>
          <w:ilvl w:val="0"/>
          <w:numId w:val="32"/>
        </w:numPr>
        <w:autoSpaceDE w:val="0"/>
        <w:autoSpaceDN w:val="0"/>
        <w:adjustRightInd w:val="0"/>
        <w:spacing w:after="60"/>
        <w:ind w:left="360"/>
        <w:contextualSpacing w:val="0"/>
        <w:rPr>
          <w:sz w:val="22"/>
          <w:szCs w:val="22"/>
        </w:rPr>
      </w:pPr>
      <w:r w:rsidRPr="006D4C38">
        <w:rPr>
          <w:b/>
          <w:sz w:val="22"/>
          <w:szCs w:val="22"/>
        </w:rPr>
        <w:t>Class II Increment Analysis</w:t>
      </w:r>
      <w:r w:rsidRPr="006D4C38">
        <w:rPr>
          <w:sz w:val="22"/>
          <w:szCs w:val="22"/>
        </w:rPr>
        <w:t>: Cumulative source modeling is performed with nearby PSD increment consuming or expanding sources.  For annual averaging periods, the highest five-year annual average is compared to the increment.  For all other short-term averaging periods, the 2</w:t>
      </w:r>
      <w:r w:rsidRPr="006D4C38">
        <w:rPr>
          <w:sz w:val="22"/>
          <w:szCs w:val="22"/>
          <w:vertAlign w:val="superscript"/>
        </w:rPr>
        <w:t>nd</w:t>
      </w:r>
      <w:r w:rsidRPr="006D4C38">
        <w:rPr>
          <w:sz w:val="22"/>
          <w:szCs w:val="22"/>
        </w:rPr>
        <w:t>-highest concentration from each of five years is compared.</w:t>
      </w:r>
    </w:p>
    <w:p w:rsidR="007A792F" w:rsidRPr="006D4C38" w:rsidRDefault="007A792F" w:rsidP="00963859">
      <w:pPr>
        <w:pStyle w:val="ListParagraph"/>
        <w:numPr>
          <w:ilvl w:val="0"/>
          <w:numId w:val="32"/>
        </w:numPr>
        <w:autoSpaceDE w:val="0"/>
        <w:autoSpaceDN w:val="0"/>
        <w:adjustRightInd w:val="0"/>
        <w:spacing w:after="60"/>
        <w:ind w:left="360"/>
        <w:contextualSpacing w:val="0"/>
        <w:rPr>
          <w:sz w:val="22"/>
          <w:szCs w:val="22"/>
        </w:rPr>
      </w:pPr>
      <w:r w:rsidRPr="006D4C38">
        <w:rPr>
          <w:b/>
          <w:sz w:val="22"/>
          <w:szCs w:val="22"/>
        </w:rPr>
        <w:t>Class I SIL Analysis</w:t>
      </w:r>
      <w:r w:rsidRPr="006D4C38">
        <w:rPr>
          <w:sz w:val="22"/>
          <w:szCs w:val="22"/>
        </w:rPr>
        <w:t>: A Class I analysis is typically required if a source is within 200 km of a Federal Class I area. Almost all of Florida is within this distance of at least one Class I area and therefore an analysis is always required.  This analysis is identical to the Class II SIL analysis except that the SILs are smaller and only evaluated within the boundaries of the Class I area.</w:t>
      </w:r>
    </w:p>
    <w:p w:rsidR="007A792F" w:rsidRPr="006D4C38" w:rsidRDefault="007A792F" w:rsidP="00963859">
      <w:pPr>
        <w:pStyle w:val="ListParagraph"/>
        <w:numPr>
          <w:ilvl w:val="0"/>
          <w:numId w:val="32"/>
        </w:numPr>
        <w:autoSpaceDE w:val="0"/>
        <w:autoSpaceDN w:val="0"/>
        <w:adjustRightInd w:val="0"/>
        <w:spacing w:after="160"/>
        <w:ind w:left="360"/>
        <w:contextualSpacing w:val="0"/>
        <w:rPr>
          <w:b/>
          <w:sz w:val="22"/>
          <w:szCs w:val="22"/>
        </w:rPr>
      </w:pPr>
      <w:r w:rsidRPr="006D4C38">
        <w:rPr>
          <w:b/>
          <w:sz w:val="22"/>
          <w:szCs w:val="22"/>
        </w:rPr>
        <w:t>Class I Increment Analysis</w:t>
      </w:r>
      <w:r w:rsidRPr="006D4C38">
        <w:rPr>
          <w:sz w:val="22"/>
          <w:szCs w:val="22"/>
        </w:rPr>
        <w:t>: For those pollutants that exceed the applicable Class I SIL, an increment analysis is required.  Again this analysis mirrors the Class II increment analysis except with smaller increments that are only evaluated within the Class I area.</w:t>
      </w:r>
    </w:p>
    <w:p w:rsidR="007A792F" w:rsidRPr="006D4C38" w:rsidRDefault="007A792F" w:rsidP="00963859">
      <w:pPr>
        <w:pStyle w:val="ListParagraph"/>
        <w:numPr>
          <w:ilvl w:val="0"/>
          <w:numId w:val="32"/>
        </w:numPr>
        <w:autoSpaceDE w:val="0"/>
        <w:autoSpaceDN w:val="0"/>
        <w:adjustRightInd w:val="0"/>
        <w:spacing w:after="160"/>
        <w:ind w:left="360"/>
        <w:contextualSpacing w:val="0"/>
        <w:rPr>
          <w:b/>
          <w:sz w:val="22"/>
          <w:szCs w:val="22"/>
        </w:rPr>
      </w:pPr>
      <w:r w:rsidRPr="006D4C38">
        <w:rPr>
          <w:b/>
          <w:sz w:val="22"/>
          <w:szCs w:val="22"/>
        </w:rPr>
        <w:lastRenderedPageBreak/>
        <w:t xml:space="preserve">Class I AQRV Visibility and Deposition Analysis: </w:t>
      </w:r>
      <w:r w:rsidRPr="006D4C38">
        <w:rPr>
          <w:sz w:val="22"/>
          <w:szCs w:val="22"/>
        </w:rPr>
        <w:t>A visibility and deposition analysis is required for any Class I area that does not pass a specific screening criteria.  This analysis is typically performed with CALPUFF.</w:t>
      </w:r>
    </w:p>
    <w:p w:rsidR="007A792F" w:rsidRPr="00155062" w:rsidRDefault="007A792F" w:rsidP="00963859">
      <w:pPr>
        <w:pStyle w:val="ListParagraph"/>
        <w:widowControl w:val="0"/>
        <w:numPr>
          <w:ilvl w:val="2"/>
          <w:numId w:val="15"/>
        </w:numPr>
        <w:spacing w:after="120"/>
        <w:ind w:left="720" w:hanging="720"/>
        <w:jc w:val="both"/>
        <w:rPr>
          <w:sz w:val="22"/>
          <w:szCs w:val="22"/>
          <w:u w:val="single"/>
        </w:rPr>
      </w:pPr>
      <w:r w:rsidRPr="00155062">
        <w:rPr>
          <w:sz w:val="22"/>
          <w:szCs w:val="22"/>
          <w:u w:val="single"/>
        </w:rPr>
        <w:t>Models</w:t>
      </w:r>
    </w:p>
    <w:p w:rsidR="007A792F" w:rsidRPr="00716FB4" w:rsidRDefault="007A792F" w:rsidP="00963859">
      <w:pPr>
        <w:widowControl w:val="0"/>
        <w:spacing w:after="120"/>
        <w:rPr>
          <w:sz w:val="22"/>
          <w:szCs w:val="22"/>
        </w:rPr>
      </w:pPr>
      <w:r w:rsidRPr="00716FB4">
        <w:rPr>
          <w:sz w:val="22"/>
          <w:szCs w:val="22"/>
        </w:rPr>
        <w:t>The AERMOD (AMS (American Meteorological Society)/EPA Regulatory Model) modeling system is a near-field, Gaussian, steady-state plume dispersion model that simulates pollutant dispersion methods based on planetary boundary layer turbulence structure and scaling concepts, including the treatment of both surface and elevated sources, and both simple and complex terrain.  The system is comprised of the AERMET meteorological processor, the AERMAP terrain processor, and the actual AERMOD model.  AERMOD was commissioned by EPA for regulatory use and was developed by AERMIC (AMS/EPA Regulatory Model Improvement Committee) from 1991 to 2005 when EPA officially promulgated it as the preferred regulatory model.  Between 2005 and 201</w:t>
      </w:r>
      <w:r>
        <w:rPr>
          <w:sz w:val="22"/>
          <w:szCs w:val="22"/>
        </w:rPr>
        <w:t>6</w:t>
      </w:r>
      <w:r w:rsidRPr="00716FB4">
        <w:rPr>
          <w:sz w:val="22"/>
          <w:szCs w:val="22"/>
        </w:rPr>
        <w:t xml:space="preserve"> the program has undergone </w:t>
      </w:r>
      <w:r>
        <w:rPr>
          <w:sz w:val="22"/>
          <w:szCs w:val="22"/>
        </w:rPr>
        <w:t>12</w:t>
      </w:r>
      <w:r w:rsidRPr="00716FB4">
        <w:rPr>
          <w:sz w:val="22"/>
          <w:szCs w:val="22"/>
        </w:rPr>
        <w:t xml:space="preserve"> major updates. It is the recommended model for assessing air quality impacts up to 50 km from the source.</w:t>
      </w:r>
    </w:p>
    <w:p w:rsidR="007A792F" w:rsidRPr="00155062" w:rsidRDefault="007A792F" w:rsidP="00963859">
      <w:pPr>
        <w:pStyle w:val="ListParagraph"/>
        <w:widowControl w:val="0"/>
        <w:numPr>
          <w:ilvl w:val="2"/>
          <w:numId w:val="15"/>
        </w:numPr>
        <w:spacing w:after="120"/>
        <w:ind w:left="720" w:hanging="720"/>
        <w:rPr>
          <w:sz w:val="22"/>
          <w:szCs w:val="22"/>
          <w:u w:val="single"/>
        </w:rPr>
      </w:pPr>
      <w:r w:rsidRPr="00155062">
        <w:rPr>
          <w:sz w:val="22"/>
          <w:szCs w:val="22"/>
          <w:u w:val="single"/>
        </w:rPr>
        <w:t>Class II SIL Analysis</w:t>
      </w:r>
    </w:p>
    <w:p w:rsidR="007A792F" w:rsidRDefault="007A792F" w:rsidP="00963859">
      <w:pPr>
        <w:widowControl w:val="0"/>
        <w:spacing w:after="120"/>
        <w:rPr>
          <w:sz w:val="22"/>
          <w:szCs w:val="22"/>
        </w:rPr>
      </w:pPr>
      <w:r w:rsidRPr="009873B9">
        <w:rPr>
          <w:sz w:val="22"/>
          <w:szCs w:val="22"/>
        </w:rPr>
        <w:t>The general modeling approach for the SIL, NAAQS, and PSD increment analyses followed current EPA and DEP modeling guidance.</w:t>
      </w:r>
      <w:r>
        <w:rPr>
          <w:sz w:val="22"/>
          <w:szCs w:val="22"/>
        </w:rPr>
        <w:t xml:space="preserve"> </w:t>
      </w:r>
      <w:r w:rsidRPr="009873B9">
        <w:rPr>
          <w:sz w:val="22"/>
          <w:szCs w:val="22"/>
        </w:rPr>
        <w:t xml:space="preserve"> The applicant used a series of specific model features recommended by EPA that are referred to as the regulatory options and the latest version of each model component available at the time of the analysis.</w:t>
      </w:r>
      <w:r>
        <w:rPr>
          <w:sz w:val="22"/>
          <w:szCs w:val="22"/>
        </w:rPr>
        <w:t xml:space="preserve"> </w:t>
      </w:r>
      <w:r w:rsidRPr="009873B9">
        <w:rPr>
          <w:sz w:val="22"/>
          <w:szCs w:val="22"/>
        </w:rPr>
        <w:t xml:space="preserve"> It should be noted that ambient concentrations of modeled pollutants in the area near the </w:t>
      </w:r>
      <w:r>
        <w:rPr>
          <w:sz w:val="22"/>
          <w:szCs w:val="22"/>
        </w:rPr>
        <w:t>p</w:t>
      </w:r>
      <w:r w:rsidRPr="009873B9">
        <w:rPr>
          <w:sz w:val="22"/>
          <w:szCs w:val="22"/>
        </w:rPr>
        <w:t>roject site are significantly below the applicable NAAQS for each and therefore use of SILs in this case satisfies Section 165(a)(3) of the CAA.</w:t>
      </w:r>
      <w:r>
        <w:rPr>
          <w:sz w:val="22"/>
          <w:szCs w:val="22"/>
        </w:rPr>
        <w:t xml:space="preserve">  The applicant has chosen to use more recent SIL values for PM</w:t>
      </w:r>
      <w:r w:rsidRPr="00DC7B30">
        <w:rPr>
          <w:sz w:val="22"/>
          <w:szCs w:val="22"/>
          <w:vertAlign w:val="subscript"/>
        </w:rPr>
        <w:t>2.5</w:t>
      </w:r>
      <w:r>
        <w:rPr>
          <w:sz w:val="22"/>
          <w:szCs w:val="22"/>
        </w:rPr>
        <w:t xml:space="preserve"> developed by EPA, which EPA believes is sufficient to conclude whether the proposed project will cause or contribute to any violation of the PM</w:t>
      </w:r>
      <w:r w:rsidRPr="00DC7B30">
        <w:rPr>
          <w:sz w:val="22"/>
          <w:szCs w:val="22"/>
          <w:vertAlign w:val="subscript"/>
        </w:rPr>
        <w:t>2.5</w:t>
      </w:r>
      <w:r>
        <w:rPr>
          <w:sz w:val="22"/>
          <w:szCs w:val="22"/>
        </w:rPr>
        <w:t xml:space="preserve"> NAAQS.</w:t>
      </w:r>
      <w:r>
        <w:rPr>
          <w:rStyle w:val="FootnoteReference"/>
          <w:sz w:val="22"/>
          <w:szCs w:val="22"/>
        </w:rPr>
        <w:footnoteReference w:id="11"/>
      </w:r>
    </w:p>
    <w:p w:rsidR="007A792F" w:rsidRDefault="007A792F" w:rsidP="00963859">
      <w:pPr>
        <w:pStyle w:val="ListParagraph"/>
        <w:widowControl w:val="0"/>
        <w:numPr>
          <w:ilvl w:val="3"/>
          <w:numId w:val="15"/>
        </w:numPr>
        <w:spacing w:after="120"/>
        <w:ind w:left="720" w:hanging="720"/>
        <w:rPr>
          <w:i/>
          <w:sz w:val="22"/>
          <w:szCs w:val="22"/>
        </w:rPr>
      </w:pPr>
      <w:r w:rsidRPr="0084039C">
        <w:rPr>
          <w:i/>
          <w:sz w:val="22"/>
          <w:szCs w:val="22"/>
        </w:rPr>
        <w:t xml:space="preserve">Meteorological </w:t>
      </w:r>
      <w:r>
        <w:rPr>
          <w:i/>
          <w:sz w:val="22"/>
          <w:szCs w:val="22"/>
        </w:rPr>
        <w:t>D</w:t>
      </w:r>
      <w:r w:rsidRPr="0084039C">
        <w:rPr>
          <w:i/>
          <w:sz w:val="22"/>
          <w:szCs w:val="22"/>
        </w:rPr>
        <w:t>ata</w:t>
      </w:r>
    </w:p>
    <w:p w:rsidR="007A792F" w:rsidRDefault="007A792F" w:rsidP="00963859">
      <w:pPr>
        <w:widowControl w:val="0"/>
        <w:spacing w:after="120"/>
        <w:rPr>
          <w:sz w:val="22"/>
          <w:szCs w:val="22"/>
        </w:rPr>
      </w:pPr>
      <w:r w:rsidRPr="009873B9">
        <w:rPr>
          <w:sz w:val="22"/>
          <w:szCs w:val="22"/>
        </w:rPr>
        <w:t>The AERMET v.</w:t>
      </w:r>
      <w:r>
        <w:rPr>
          <w:sz w:val="22"/>
          <w:szCs w:val="22"/>
        </w:rPr>
        <w:t>16216</w:t>
      </w:r>
      <w:r w:rsidRPr="009873B9">
        <w:rPr>
          <w:sz w:val="22"/>
          <w:szCs w:val="22"/>
        </w:rPr>
        <w:t xml:space="preserve"> meteorological input used with the AERMOD v.</w:t>
      </w:r>
      <w:r>
        <w:rPr>
          <w:sz w:val="22"/>
          <w:szCs w:val="22"/>
        </w:rPr>
        <w:t>16216R</w:t>
      </w:r>
      <w:r w:rsidRPr="009873B9">
        <w:rPr>
          <w:sz w:val="22"/>
          <w:szCs w:val="22"/>
        </w:rPr>
        <w:t xml:space="preserve"> model consisted of a concurrent 5-year period of hourly surface-weather observations from the National Weather Service (NWS) Automated Surface Observing System (ASOS) station at </w:t>
      </w:r>
      <w:r>
        <w:rPr>
          <w:sz w:val="22"/>
          <w:szCs w:val="22"/>
        </w:rPr>
        <w:t xml:space="preserve">Punta </w:t>
      </w:r>
      <w:proofErr w:type="spellStart"/>
      <w:r>
        <w:rPr>
          <w:sz w:val="22"/>
          <w:szCs w:val="22"/>
        </w:rPr>
        <w:t>Gorda</w:t>
      </w:r>
      <w:proofErr w:type="spellEnd"/>
      <w:r>
        <w:rPr>
          <w:sz w:val="22"/>
          <w:szCs w:val="22"/>
        </w:rPr>
        <w:t xml:space="preserve"> Airport</w:t>
      </w:r>
      <w:r w:rsidRPr="009873B9">
        <w:rPr>
          <w:sz w:val="22"/>
          <w:szCs w:val="22"/>
        </w:rPr>
        <w:t xml:space="preserve"> (</w:t>
      </w:r>
      <w:r>
        <w:rPr>
          <w:sz w:val="22"/>
          <w:szCs w:val="22"/>
        </w:rPr>
        <w:t>PGD</w:t>
      </w:r>
      <w:r w:rsidRPr="009873B9">
        <w:rPr>
          <w:sz w:val="22"/>
          <w:szCs w:val="22"/>
        </w:rPr>
        <w:t>) and upper air sounding (RAOB) data from Tampa International Airport (TBW).  This data was compiled by DEP for the period 20</w:t>
      </w:r>
      <w:r>
        <w:rPr>
          <w:sz w:val="22"/>
          <w:szCs w:val="22"/>
        </w:rPr>
        <w:t>12 – 2016</w:t>
      </w:r>
      <w:r w:rsidRPr="009873B9">
        <w:rPr>
          <w:sz w:val="22"/>
          <w:szCs w:val="22"/>
        </w:rPr>
        <w:t xml:space="preserve"> and included land cover and land use parameters derived from the 1992 National Land Cover Database (NLCD) by AERSURFACE v.13016 and 1-minute ASOS wind data extracted by AERMINUTE v.11059 with a minimum wind speed threshold of 0.5 meters per seco</w:t>
      </w:r>
      <w:r>
        <w:rPr>
          <w:sz w:val="22"/>
          <w:szCs w:val="22"/>
        </w:rPr>
        <w:t>nd (m/s).  The ASOS station at PGD</w:t>
      </w:r>
      <w:r w:rsidRPr="009873B9">
        <w:rPr>
          <w:sz w:val="22"/>
          <w:szCs w:val="22"/>
        </w:rPr>
        <w:t xml:space="preserve"> is located approximately </w:t>
      </w:r>
      <w:r>
        <w:rPr>
          <w:sz w:val="22"/>
          <w:szCs w:val="22"/>
        </w:rPr>
        <w:t>72</w:t>
      </w:r>
      <w:r w:rsidRPr="009873B9">
        <w:rPr>
          <w:sz w:val="22"/>
          <w:szCs w:val="22"/>
        </w:rPr>
        <w:t xml:space="preserve"> km </w:t>
      </w:r>
      <w:r>
        <w:rPr>
          <w:sz w:val="22"/>
          <w:szCs w:val="22"/>
        </w:rPr>
        <w:t>WSW</w:t>
      </w:r>
      <w:r w:rsidRPr="009873B9">
        <w:rPr>
          <w:sz w:val="22"/>
          <w:szCs w:val="22"/>
        </w:rPr>
        <w:t xml:space="preserve"> of the </w:t>
      </w:r>
      <w:r>
        <w:rPr>
          <w:sz w:val="22"/>
          <w:szCs w:val="22"/>
        </w:rPr>
        <w:t>p</w:t>
      </w:r>
      <w:r w:rsidRPr="009873B9">
        <w:rPr>
          <w:sz w:val="22"/>
          <w:szCs w:val="22"/>
        </w:rPr>
        <w:t xml:space="preserve">roject site and is the closest primary weather </w:t>
      </w:r>
      <w:r w:rsidRPr="00935069">
        <w:rPr>
          <w:sz w:val="22"/>
          <w:szCs w:val="22"/>
        </w:rPr>
        <w:t xml:space="preserve">station. </w:t>
      </w:r>
      <w:r>
        <w:rPr>
          <w:sz w:val="22"/>
          <w:szCs w:val="22"/>
        </w:rPr>
        <w:t xml:space="preserve"> </w:t>
      </w:r>
      <w:r w:rsidRPr="002A6823">
        <w:rPr>
          <w:b/>
          <w:sz w:val="22"/>
          <w:szCs w:val="22"/>
        </w:rPr>
        <w:fldChar w:fldCharType="begin"/>
      </w:r>
      <w:r w:rsidRPr="002A6823">
        <w:rPr>
          <w:b/>
          <w:sz w:val="22"/>
          <w:szCs w:val="22"/>
        </w:rPr>
        <w:instrText xml:space="preserve"> REF _Ref485728971 \h  \* MERGEFORMAT </w:instrText>
      </w:r>
      <w:r w:rsidRPr="002A6823">
        <w:rPr>
          <w:b/>
          <w:sz w:val="22"/>
          <w:szCs w:val="22"/>
        </w:rPr>
      </w:r>
      <w:r w:rsidRPr="002A6823">
        <w:rPr>
          <w:b/>
          <w:sz w:val="22"/>
          <w:szCs w:val="22"/>
        </w:rPr>
        <w:fldChar w:fldCharType="separate"/>
      </w:r>
      <w:r w:rsidR="005A4C55" w:rsidRPr="005A4C55">
        <w:rPr>
          <w:b/>
          <w:sz w:val="22"/>
          <w:szCs w:val="22"/>
        </w:rPr>
        <w:t xml:space="preserve">Table </w:t>
      </w:r>
      <w:r w:rsidR="005A4C55" w:rsidRPr="005A4C55">
        <w:rPr>
          <w:b/>
          <w:noProof/>
          <w:sz w:val="22"/>
          <w:szCs w:val="22"/>
        </w:rPr>
        <w:t>7</w:t>
      </w:r>
      <w:r w:rsidRPr="002A6823">
        <w:rPr>
          <w:b/>
          <w:sz w:val="22"/>
          <w:szCs w:val="22"/>
        </w:rPr>
        <w:fldChar w:fldCharType="end"/>
      </w:r>
      <w:r>
        <w:rPr>
          <w:b/>
          <w:sz w:val="22"/>
          <w:szCs w:val="22"/>
        </w:rPr>
        <w:t xml:space="preserve"> </w:t>
      </w:r>
      <w:r w:rsidRPr="00935069">
        <w:rPr>
          <w:sz w:val="22"/>
          <w:szCs w:val="22"/>
        </w:rPr>
        <w:t>summarizes</w:t>
      </w:r>
      <w:r w:rsidRPr="009873B9">
        <w:rPr>
          <w:sz w:val="22"/>
          <w:szCs w:val="22"/>
        </w:rPr>
        <w:t xml:space="preserve"> the annual average land use parameters for the </w:t>
      </w:r>
      <w:r>
        <w:rPr>
          <w:sz w:val="22"/>
          <w:szCs w:val="22"/>
        </w:rPr>
        <w:t>p</w:t>
      </w:r>
      <w:r w:rsidRPr="009873B9">
        <w:rPr>
          <w:sz w:val="22"/>
          <w:szCs w:val="22"/>
        </w:rPr>
        <w:t xml:space="preserve">roject site and the ASOS location. </w:t>
      </w:r>
      <w:r>
        <w:rPr>
          <w:sz w:val="22"/>
          <w:szCs w:val="22"/>
        </w:rPr>
        <w:t xml:space="preserve"> </w:t>
      </w:r>
      <w:r w:rsidRPr="009873B9">
        <w:rPr>
          <w:sz w:val="22"/>
          <w:szCs w:val="22"/>
        </w:rPr>
        <w:t xml:space="preserve">These parameters were derived seasonally and for twelve 30-degree wind direction sectors. </w:t>
      </w:r>
      <w:r>
        <w:rPr>
          <w:sz w:val="22"/>
          <w:szCs w:val="22"/>
        </w:rPr>
        <w:t xml:space="preserve"> </w:t>
      </w:r>
      <w:r w:rsidRPr="009873B9">
        <w:rPr>
          <w:sz w:val="22"/>
          <w:szCs w:val="22"/>
        </w:rPr>
        <w:t>Given the similarity of the land surrounding both sites, the ASOS data are considered to be representative of the project site.</w:t>
      </w:r>
    </w:p>
    <w:p w:rsidR="007A792F" w:rsidRDefault="007A792F" w:rsidP="00963859">
      <w:pPr>
        <w:pStyle w:val="Caption"/>
        <w:spacing w:before="120"/>
        <w:jc w:val="center"/>
      </w:pPr>
      <w:bookmarkStart w:id="25" w:name="_Ref485728971"/>
      <w:r>
        <w:t xml:space="preserve">Table </w:t>
      </w:r>
      <w:fldSimple w:instr=" SEQ Table \* ARABIC ">
        <w:r w:rsidR="00CF4EEA">
          <w:rPr>
            <w:noProof/>
          </w:rPr>
          <w:t>7</w:t>
        </w:r>
      </w:fldSimple>
      <w:bookmarkEnd w:id="25"/>
      <w:r>
        <w:t xml:space="preserve"> - </w:t>
      </w:r>
      <w:r w:rsidRPr="00C17713">
        <w:t>ANNUAL AVERAGE LAND USE PARAMETER COMPARISON BETWEEN THE PGD ASOS STATION AND THE PROJECT SITE.</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2487"/>
        <w:gridCol w:w="2477"/>
        <w:gridCol w:w="2477"/>
        <w:gridCol w:w="2485"/>
      </w:tblGrid>
      <w:tr w:rsidR="00B144E8" w:rsidTr="002B022D">
        <w:trPr>
          <w:trHeight w:val="350"/>
        </w:trPr>
        <w:tc>
          <w:tcPr>
            <w:tcW w:w="2487" w:type="dxa"/>
            <w:shd w:val="clear" w:color="auto" w:fill="C6D9F1" w:themeFill="text2" w:themeFillTint="33"/>
            <w:vAlign w:val="center"/>
          </w:tcPr>
          <w:p w:rsidR="00B144E8" w:rsidRPr="00FF09C8" w:rsidRDefault="00B144E8" w:rsidP="00155062">
            <w:pPr>
              <w:jc w:val="center"/>
              <w:rPr>
                <w:b/>
              </w:rPr>
            </w:pPr>
            <w:r w:rsidRPr="00FF09C8">
              <w:rPr>
                <w:b/>
              </w:rPr>
              <w:t>Location</w:t>
            </w:r>
          </w:p>
        </w:tc>
        <w:tc>
          <w:tcPr>
            <w:tcW w:w="2477" w:type="dxa"/>
            <w:shd w:val="clear" w:color="auto" w:fill="C6D9F1" w:themeFill="text2" w:themeFillTint="33"/>
            <w:vAlign w:val="center"/>
          </w:tcPr>
          <w:p w:rsidR="00B144E8" w:rsidRPr="00FF09C8" w:rsidRDefault="00B144E8" w:rsidP="00155062">
            <w:pPr>
              <w:jc w:val="center"/>
              <w:rPr>
                <w:b/>
              </w:rPr>
            </w:pPr>
            <w:r w:rsidRPr="00FF09C8">
              <w:rPr>
                <w:b/>
              </w:rPr>
              <w:t>Albedo</w:t>
            </w:r>
          </w:p>
        </w:tc>
        <w:tc>
          <w:tcPr>
            <w:tcW w:w="2477" w:type="dxa"/>
            <w:shd w:val="clear" w:color="auto" w:fill="C6D9F1" w:themeFill="text2" w:themeFillTint="33"/>
            <w:vAlign w:val="center"/>
          </w:tcPr>
          <w:p w:rsidR="00B144E8" w:rsidRPr="00FF09C8" w:rsidRDefault="00B144E8" w:rsidP="00155062">
            <w:pPr>
              <w:jc w:val="center"/>
              <w:rPr>
                <w:b/>
              </w:rPr>
            </w:pPr>
            <w:r w:rsidRPr="00FF09C8">
              <w:rPr>
                <w:b/>
              </w:rPr>
              <w:t>Bowen Ratio</w:t>
            </w:r>
          </w:p>
        </w:tc>
        <w:tc>
          <w:tcPr>
            <w:tcW w:w="2485" w:type="dxa"/>
            <w:shd w:val="clear" w:color="auto" w:fill="C6D9F1" w:themeFill="text2" w:themeFillTint="33"/>
            <w:vAlign w:val="center"/>
          </w:tcPr>
          <w:p w:rsidR="00B144E8" w:rsidRPr="00FF09C8" w:rsidRDefault="00B144E8" w:rsidP="00155062">
            <w:pPr>
              <w:jc w:val="center"/>
              <w:rPr>
                <w:b/>
              </w:rPr>
            </w:pPr>
            <w:r w:rsidRPr="00FF09C8">
              <w:rPr>
                <w:b/>
              </w:rPr>
              <w:t>Surface Roughness</w:t>
            </w:r>
          </w:p>
        </w:tc>
      </w:tr>
      <w:tr w:rsidR="00B144E8" w:rsidTr="002B022D">
        <w:tc>
          <w:tcPr>
            <w:tcW w:w="2487" w:type="dxa"/>
          </w:tcPr>
          <w:p w:rsidR="00B144E8" w:rsidRPr="00FF09C8" w:rsidRDefault="00B144E8" w:rsidP="00155062">
            <w:pPr>
              <w:jc w:val="center"/>
            </w:pPr>
            <w:r>
              <w:t>PGD</w:t>
            </w:r>
            <w:r w:rsidRPr="00FF09C8">
              <w:t xml:space="preserve"> ASOS Station</w:t>
            </w:r>
          </w:p>
        </w:tc>
        <w:tc>
          <w:tcPr>
            <w:tcW w:w="2477" w:type="dxa"/>
          </w:tcPr>
          <w:p w:rsidR="00B144E8" w:rsidRPr="005559CB" w:rsidRDefault="00B144E8" w:rsidP="00155062">
            <w:pPr>
              <w:jc w:val="center"/>
            </w:pPr>
            <w:r w:rsidRPr="005559CB">
              <w:t>0.1</w:t>
            </w:r>
            <w:r>
              <w:t>6</w:t>
            </w:r>
          </w:p>
        </w:tc>
        <w:tc>
          <w:tcPr>
            <w:tcW w:w="2477" w:type="dxa"/>
          </w:tcPr>
          <w:p w:rsidR="00B144E8" w:rsidRPr="005559CB" w:rsidRDefault="00B144E8" w:rsidP="00155062">
            <w:pPr>
              <w:jc w:val="center"/>
            </w:pPr>
            <w:r w:rsidRPr="005559CB">
              <w:t>0.4</w:t>
            </w:r>
            <w:r>
              <w:t>5</w:t>
            </w:r>
          </w:p>
        </w:tc>
        <w:tc>
          <w:tcPr>
            <w:tcW w:w="2485" w:type="dxa"/>
          </w:tcPr>
          <w:p w:rsidR="00B144E8" w:rsidRPr="005559CB" w:rsidRDefault="00B144E8" w:rsidP="00155062">
            <w:pPr>
              <w:jc w:val="center"/>
            </w:pPr>
            <w:r w:rsidRPr="005559CB">
              <w:t>0.0</w:t>
            </w:r>
            <w:r>
              <w:t>57</w:t>
            </w:r>
          </w:p>
        </w:tc>
      </w:tr>
      <w:tr w:rsidR="00B144E8" w:rsidTr="002B022D">
        <w:tc>
          <w:tcPr>
            <w:tcW w:w="2487" w:type="dxa"/>
          </w:tcPr>
          <w:p w:rsidR="00B144E8" w:rsidRPr="00FF09C8" w:rsidRDefault="00B144E8" w:rsidP="00155062">
            <w:pPr>
              <w:jc w:val="center"/>
            </w:pPr>
            <w:r>
              <w:t>Highlands</w:t>
            </w:r>
            <w:r w:rsidRPr="00FF09C8">
              <w:t xml:space="preserve"> Project Site</w:t>
            </w:r>
          </w:p>
        </w:tc>
        <w:tc>
          <w:tcPr>
            <w:tcW w:w="2477" w:type="dxa"/>
          </w:tcPr>
          <w:p w:rsidR="00B144E8" w:rsidRPr="005559CB" w:rsidRDefault="00B144E8" w:rsidP="00155062">
            <w:pPr>
              <w:jc w:val="center"/>
            </w:pPr>
            <w:r w:rsidRPr="005559CB">
              <w:t>0.1</w:t>
            </w:r>
            <w:r>
              <w:t>6</w:t>
            </w:r>
          </w:p>
        </w:tc>
        <w:tc>
          <w:tcPr>
            <w:tcW w:w="2477" w:type="dxa"/>
          </w:tcPr>
          <w:p w:rsidR="00B144E8" w:rsidRPr="005559CB" w:rsidRDefault="00B144E8" w:rsidP="00155062">
            <w:pPr>
              <w:jc w:val="center"/>
            </w:pPr>
            <w:r w:rsidRPr="005559CB">
              <w:t>0.</w:t>
            </w:r>
            <w:r>
              <w:t>47</w:t>
            </w:r>
          </w:p>
        </w:tc>
        <w:tc>
          <w:tcPr>
            <w:tcW w:w="2485" w:type="dxa"/>
          </w:tcPr>
          <w:p w:rsidR="00B144E8" w:rsidRPr="005559CB" w:rsidRDefault="00B144E8" w:rsidP="00155062">
            <w:pPr>
              <w:jc w:val="center"/>
            </w:pPr>
            <w:r w:rsidRPr="005559CB">
              <w:t>0.</w:t>
            </w:r>
            <w:r>
              <w:t>188</w:t>
            </w:r>
          </w:p>
        </w:tc>
      </w:tr>
    </w:tbl>
    <w:p w:rsidR="007A792F" w:rsidRDefault="007A792F" w:rsidP="00155062">
      <w:pPr>
        <w:pStyle w:val="ListParagraph"/>
        <w:widowControl w:val="0"/>
        <w:numPr>
          <w:ilvl w:val="3"/>
          <w:numId w:val="15"/>
        </w:numPr>
        <w:spacing w:before="120" w:after="120"/>
        <w:ind w:left="720" w:hanging="720"/>
        <w:contextualSpacing w:val="0"/>
        <w:jc w:val="both"/>
        <w:rPr>
          <w:i/>
          <w:sz w:val="22"/>
          <w:szCs w:val="22"/>
        </w:rPr>
      </w:pPr>
      <w:r w:rsidRPr="0084039C">
        <w:rPr>
          <w:i/>
          <w:sz w:val="22"/>
          <w:szCs w:val="22"/>
        </w:rPr>
        <w:t>Building Downwash</w:t>
      </w:r>
    </w:p>
    <w:p w:rsidR="007A792F" w:rsidRPr="008F652B" w:rsidRDefault="007A792F" w:rsidP="00EC0CED">
      <w:pPr>
        <w:widowControl w:val="0"/>
        <w:spacing w:after="120"/>
        <w:rPr>
          <w:sz w:val="22"/>
          <w:szCs w:val="22"/>
        </w:rPr>
      </w:pPr>
      <w:r>
        <w:rPr>
          <w:sz w:val="22"/>
          <w:szCs w:val="22"/>
        </w:rPr>
        <w:t xml:space="preserve">Building downwash effects were simulated for 11 future structures at the facility.  For each stack, direction-specific building heights and maximum projected widths were calculated by the Building Profile Input Program (BPIP v.04274) incorporating the Plume Rise Model Enhancement (PRIME) algorithm developed by the Electric Power Research Institute (EPRI).  This wind direction-specific information was then output to </w:t>
      </w:r>
      <w:r>
        <w:rPr>
          <w:sz w:val="22"/>
          <w:szCs w:val="22"/>
        </w:rPr>
        <w:lastRenderedPageBreak/>
        <w:t>AERMOD which simulates aerodynamic downwash based on stack and building locations and heights.</w:t>
      </w:r>
    </w:p>
    <w:p w:rsidR="007A792F" w:rsidRDefault="007A792F" w:rsidP="00155062">
      <w:pPr>
        <w:pStyle w:val="ListParagraph"/>
        <w:widowControl w:val="0"/>
        <w:numPr>
          <w:ilvl w:val="3"/>
          <w:numId w:val="15"/>
        </w:numPr>
        <w:spacing w:after="120"/>
        <w:ind w:left="720" w:hanging="720"/>
        <w:jc w:val="both"/>
        <w:rPr>
          <w:i/>
          <w:sz w:val="22"/>
          <w:szCs w:val="22"/>
        </w:rPr>
      </w:pPr>
      <w:r w:rsidRPr="0084039C">
        <w:rPr>
          <w:i/>
          <w:sz w:val="22"/>
          <w:szCs w:val="22"/>
        </w:rPr>
        <w:t>Receptors and Terrain</w:t>
      </w:r>
    </w:p>
    <w:p w:rsidR="007A792F" w:rsidRDefault="007A792F" w:rsidP="00EC0CED">
      <w:pPr>
        <w:widowControl w:val="0"/>
        <w:spacing w:after="120"/>
        <w:rPr>
          <w:sz w:val="22"/>
          <w:szCs w:val="22"/>
        </w:rPr>
      </w:pPr>
      <w:r>
        <w:rPr>
          <w:sz w:val="22"/>
          <w:szCs w:val="22"/>
        </w:rPr>
        <w:t>A combination of fence line, near-field, and far-field receptors was chosen for predicting maximum concentrations in the vicinity of the project for comparison to the Class II SILs.  Receptor locations used in the modeling analysis were based on Universal Transverse Mercator (UTM) coordinates from Zone 17 North, North American Datum 1983 (NAD83).  The modeling domain was set as a 14 km X 14 km grid centered at UTM 17N east and north coordinates of 466,380 and 3,008,958 meters, respectively.  A discrete Cartesian grid of 4,669 receptors was located at the following intervals and distances:</w:t>
      </w:r>
    </w:p>
    <w:p w:rsidR="007A792F" w:rsidRPr="009873B9" w:rsidRDefault="007A792F" w:rsidP="007A792F">
      <w:pPr>
        <w:pStyle w:val="ListParagraph"/>
        <w:numPr>
          <w:ilvl w:val="0"/>
          <w:numId w:val="34"/>
        </w:numPr>
        <w:autoSpaceDE w:val="0"/>
        <w:autoSpaceDN w:val="0"/>
        <w:adjustRightInd w:val="0"/>
        <w:spacing w:after="60"/>
        <w:contextualSpacing w:val="0"/>
        <w:rPr>
          <w:sz w:val="22"/>
          <w:szCs w:val="22"/>
        </w:rPr>
      </w:pPr>
      <w:r w:rsidRPr="009873B9">
        <w:rPr>
          <w:sz w:val="22"/>
          <w:szCs w:val="22"/>
        </w:rPr>
        <w:t>50 m spacing along the property boundary and fence line;</w:t>
      </w:r>
    </w:p>
    <w:p w:rsidR="007A792F" w:rsidRPr="009873B9" w:rsidRDefault="007A792F" w:rsidP="007A792F">
      <w:pPr>
        <w:pStyle w:val="ListParagraph"/>
        <w:numPr>
          <w:ilvl w:val="0"/>
          <w:numId w:val="34"/>
        </w:numPr>
        <w:autoSpaceDE w:val="0"/>
        <w:autoSpaceDN w:val="0"/>
        <w:adjustRightInd w:val="0"/>
        <w:spacing w:after="60"/>
        <w:contextualSpacing w:val="0"/>
        <w:rPr>
          <w:sz w:val="22"/>
          <w:szCs w:val="22"/>
        </w:rPr>
      </w:pPr>
      <w:r w:rsidRPr="009873B9">
        <w:rPr>
          <w:sz w:val="22"/>
          <w:szCs w:val="22"/>
        </w:rPr>
        <w:t>100 m spacing from the fence line to 2,000 m from the domain origin;</w:t>
      </w:r>
    </w:p>
    <w:p w:rsidR="007A792F" w:rsidRPr="009873B9" w:rsidRDefault="007A792F" w:rsidP="007A792F">
      <w:pPr>
        <w:pStyle w:val="ListParagraph"/>
        <w:numPr>
          <w:ilvl w:val="0"/>
          <w:numId w:val="34"/>
        </w:numPr>
        <w:autoSpaceDE w:val="0"/>
        <w:autoSpaceDN w:val="0"/>
        <w:adjustRightInd w:val="0"/>
        <w:spacing w:after="60"/>
        <w:contextualSpacing w:val="0"/>
        <w:rPr>
          <w:sz w:val="22"/>
          <w:szCs w:val="22"/>
        </w:rPr>
      </w:pPr>
      <w:r w:rsidRPr="009873B9">
        <w:rPr>
          <w:sz w:val="22"/>
          <w:szCs w:val="22"/>
        </w:rPr>
        <w:t xml:space="preserve">250 m spacing from 2,000 m to </w:t>
      </w:r>
      <w:r>
        <w:rPr>
          <w:sz w:val="22"/>
          <w:szCs w:val="22"/>
        </w:rPr>
        <w:t>7,000 m from the domain origin.</w:t>
      </w:r>
    </w:p>
    <w:p w:rsidR="007A792F" w:rsidRPr="009873B9" w:rsidRDefault="007A792F" w:rsidP="007A792F">
      <w:pPr>
        <w:spacing w:before="120"/>
        <w:rPr>
          <w:sz w:val="22"/>
          <w:szCs w:val="22"/>
        </w:rPr>
      </w:pPr>
      <w:r w:rsidRPr="009873B9">
        <w:rPr>
          <w:sz w:val="22"/>
          <w:szCs w:val="22"/>
        </w:rPr>
        <w:t>This receptor placement is considered to be sufficient to resolve the areas of highest concentration in Florida’s flat terrain.</w:t>
      </w:r>
    </w:p>
    <w:p w:rsidR="007A792F" w:rsidRPr="002812B9" w:rsidRDefault="007A792F" w:rsidP="007A792F">
      <w:pPr>
        <w:autoSpaceDE w:val="0"/>
        <w:autoSpaceDN w:val="0"/>
        <w:adjustRightInd w:val="0"/>
        <w:spacing w:before="120" w:after="120"/>
        <w:rPr>
          <w:sz w:val="22"/>
          <w:szCs w:val="22"/>
        </w:rPr>
      </w:pPr>
      <w:r w:rsidRPr="009873B9">
        <w:rPr>
          <w:sz w:val="22"/>
          <w:szCs w:val="22"/>
        </w:rPr>
        <w:t>Base elevations were extracted from the US Geological Survey’s (USGS) 1-second National Elevation Dataset (NED) by AERMOD’s terrain processor AERMAP v.</w:t>
      </w:r>
      <w:r>
        <w:rPr>
          <w:sz w:val="22"/>
          <w:szCs w:val="22"/>
        </w:rPr>
        <w:t xml:space="preserve">11103 </w:t>
      </w:r>
      <w:r w:rsidRPr="009873B9">
        <w:rPr>
          <w:sz w:val="22"/>
          <w:szCs w:val="22"/>
        </w:rPr>
        <w:t>for all receptors and sources.</w:t>
      </w:r>
    </w:p>
    <w:p w:rsidR="007A792F" w:rsidRPr="003E1C6E" w:rsidRDefault="007A792F" w:rsidP="00155062">
      <w:pPr>
        <w:pStyle w:val="ListParagraph"/>
        <w:widowControl w:val="0"/>
        <w:numPr>
          <w:ilvl w:val="3"/>
          <w:numId w:val="15"/>
        </w:numPr>
        <w:spacing w:after="120"/>
        <w:ind w:left="720" w:hanging="720"/>
        <w:jc w:val="both"/>
        <w:rPr>
          <w:i/>
          <w:sz w:val="22"/>
          <w:szCs w:val="22"/>
        </w:rPr>
      </w:pPr>
      <w:r w:rsidRPr="003E1C6E">
        <w:rPr>
          <w:i/>
          <w:sz w:val="22"/>
          <w:szCs w:val="22"/>
        </w:rPr>
        <w:t>Onsite Modeled Sources</w:t>
      </w:r>
    </w:p>
    <w:p w:rsidR="007A792F" w:rsidRDefault="007A792F" w:rsidP="007A792F">
      <w:pPr>
        <w:spacing w:after="120"/>
        <w:rPr>
          <w:sz w:val="22"/>
          <w:szCs w:val="22"/>
        </w:rPr>
      </w:pPr>
      <w:r>
        <w:rPr>
          <w:sz w:val="22"/>
          <w:szCs w:val="22"/>
        </w:rPr>
        <w:t xml:space="preserve">The SIL analysis evaluates whether the potential emissions from the new project alone are capable of significantly contributing to a modeled NAAQS exceedance.  </w:t>
      </w:r>
      <w:r w:rsidRPr="002A6823">
        <w:rPr>
          <w:b/>
          <w:sz w:val="22"/>
          <w:szCs w:val="22"/>
        </w:rPr>
        <w:fldChar w:fldCharType="begin"/>
      </w:r>
      <w:r w:rsidRPr="002A6823">
        <w:rPr>
          <w:b/>
          <w:sz w:val="22"/>
          <w:szCs w:val="22"/>
        </w:rPr>
        <w:instrText xml:space="preserve"> REF _Ref485729019 \h  \* MERGEFORMAT </w:instrText>
      </w:r>
      <w:r w:rsidRPr="002A6823">
        <w:rPr>
          <w:b/>
          <w:sz w:val="22"/>
          <w:szCs w:val="22"/>
        </w:rPr>
      </w:r>
      <w:r w:rsidRPr="002A6823">
        <w:rPr>
          <w:b/>
          <w:sz w:val="22"/>
          <w:szCs w:val="22"/>
        </w:rPr>
        <w:fldChar w:fldCharType="separate"/>
      </w:r>
      <w:r w:rsidR="005A4C55" w:rsidRPr="005A4C55">
        <w:rPr>
          <w:b/>
          <w:sz w:val="22"/>
          <w:szCs w:val="22"/>
        </w:rPr>
        <w:t xml:space="preserve">Table </w:t>
      </w:r>
      <w:r w:rsidR="005A4C55" w:rsidRPr="005A4C55">
        <w:rPr>
          <w:b/>
          <w:noProof/>
          <w:sz w:val="22"/>
          <w:szCs w:val="22"/>
        </w:rPr>
        <w:t>8</w:t>
      </w:r>
      <w:r w:rsidRPr="002A6823">
        <w:rPr>
          <w:b/>
          <w:sz w:val="22"/>
          <w:szCs w:val="22"/>
        </w:rPr>
        <w:fldChar w:fldCharType="end"/>
      </w:r>
      <w:r>
        <w:rPr>
          <w:sz w:val="22"/>
          <w:szCs w:val="22"/>
        </w:rPr>
        <w:t xml:space="preserve"> summarizes the emission factors for each onsite modeled source.  Worst-case scenario conditions were assumed for all sources.</w:t>
      </w:r>
    </w:p>
    <w:p w:rsidR="007A792F" w:rsidRDefault="007A792F" w:rsidP="007A792F">
      <w:pPr>
        <w:spacing w:after="120"/>
        <w:rPr>
          <w:sz w:val="22"/>
          <w:szCs w:val="22"/>
        </w:rPr>
      </w:pPr>
      <w:r>
        <w:rPr>
          <w:sz w:val="22"/>
          <w:szCs w:val="22"/>
        </w:rPr>
        <w:t>The boiler unit is the largest source of PM in the project.  The boiler is intended to run on 100% bagasse fuel as the normal operating mode.  However, the boiler will also be permitted to run on bagasse and up to 10% wood fuel, or bagasse and up to 30% natural gas fuel.  The maximum short-term emission rate across all potential fuel combinations was calculated to determine the maximum short-term emission rate to use in the modeling.  The worst-case emissions scenario for the boiler unit is running on 100% bagasse fuel.</w:t>
      </w:r>
    </w:p>
    <w:p w:rsidR="007A792F" w:rsidRDefault="007A792F" w:rsidP="007A792F">
      <w:pPr>
        <w:spacing w:after="120"/>
        <w:rPr>
          <w:sz w:val="22"/>
          <w:szCs w:val="22"/>
        </w:rPr>
      </w:pPr>
      <w:r>
        <w:rPr>
          <w:sz w:val="22"/>
          <w:szCs w:val="22"/>
        </w:rPr>
        <w:t>PM emissions from the cooling tower are based on a drift rate of 0.001 percent and total dissolved solids concentration of 500 ppm, reflecting typical values for freshwater in the vicinity of the site.  PM emissions for the materials storage silos are based on maximum estimated material loading times and rates for each silo.  PM emissions for the truck/rail loading rack flare are based on AP-42 emission factors for industrial flares.</w:t>
      </w:r>
    </w:p>
    <w:p w:rsidR="007A792F" w:rsidRDefault="007A792F" w:rsidP="007A792F">
      <w:pPr>
        <w:spacing w:after="120"/>
        <w:rPr>
          <w:sz w:val="22"/>
          <w:szCs w:val="22"/>
        </w:rPr>
      </w:pPr>
      <w:r>
        <w:rPr>
          <w:sz w:val="22"/>
          <w:szCs w:val="22"/>
        </w:rPr>
        <w:t>The worst-case emissions scenario for fugitive PM emissions is the use and handling of bagasse fuel and 10% wood fuel.  Fugitive PM emissions were estimated for sources of material handling, including conveyer belts and storage piles; wind erosion of storage piles; and truck traffic on paved roads related to deliveries, load outs, and storage pile maintenance.  Fugitive PM emissions were estimated using EPA’s AP-42 emission factors.</w:t>
      </w:r>
    </w:p>
    <w:p w:rsidR="007A792F" w:rsidRDefault="007A792F" w:rsidP="00155062">
      <w:pPr>
        <w:pStyle w:val="Caption"/>
        <w:spacing w:before="120"/>
        <w:jc w:val="center"/>
      </w:pPr>
      <w:bookmarkStart w:id="26" w:name="_Ref485729019"/>
      <w:r>
        <w:t xml:space="preserve">Table </w:t>
      </w:r>
      <w:fldSimple w:instr=" SEQ Table \* ARABIC ">
        <w:r w:rsidR="00CF4EEA">
          <w:rPr>
            <w:noProof/>
          </w:rPr>
          <w:t>8</w:t>
        </w:r>
      </w:fldSimple>
      <w:bookmarkEnd w:id="26"/>
      <w:r>
        <w:t xml:space="preserve"> - </w:t>
      </w:r>
      <w:r w:rsidRPr="004A36BA">
        <w:t>Onsite Modeled Sources</w:t>
      </w:r>
    </w:p>
    <w:tbl>
      <w:tblPr>
        <w:tblStyle w:val="TableGrid"/>
        <w:tblW w:w="100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5"/>
        <w:gridCol w:w="1311"/>
        <w:gridCol w:w="866"/>
        <w:gridCol w:w="1253"/>
        <w:gridCol w:w="915"/>
        <w:gridCol w:w="1104"/>
        <w:gridCol w:w="1301"/>
      </w:tblGrid>
      <w:tr w:rsidR="00B144E8" w:rsidRPr="00A379B5" w:rsidTr="002B022D">
        <w:tc>
          <w:tcPr>
            <w:tcW w:w="3325" w:type="dxa"/>
            <w:vMerge w:val="restart"/>
            <w:tcBorders>
              <w:top w:val="single" w:sz="4" w:space="0" w:color="auto"/>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Source</w:t>
            </w:r>
          </w:p>
        </w:tc>
        <w:tc>
          <w:tcPr>
            <w:tcW w:w="1311" w:type="dxa"/>
            <w:vMerge w:val="restart"/>
            <w:tcBorders>
              <w:top w:val="single" w:sz="4" w:space="0" w:color="auto"/>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Type</w:t>
            </w:r>
          </w:p>
        </w:tc>
        <w:tc>
          <w:tcPr>
            <w:tcW w:w="2119" w:type="dxa"/>
            <w:gridSpan w:val="2"/>
            <w:tcBorders>
              <w:top w:val="single" w:sz="4" w:space="0" w:color="auto"/>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PM</w:t>
            </w:r>
            <w:r w:rsidRPr="00155062">
              <w:rPr>
                <w:b/>
                <w:sz w:val="18"/>
                <w:szCs w:val="18"/>
                <w:vertAlign w:val="subscript"/>
              </w:rPr>
              <w:t>10</w:t>
            </w:r>
          </w:p>
        </w:tc>
        <w:tc>
          <w:tcPr>
            <w:tcW w:w="2019" w:type="dxa"/>
            <w:gridSpan w:val="2"/>
            <w:tcBorders>
              <w:top w:val="single" w:sz="4" w:space="0" w:color="auto"/>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PM</w:t>
            </w:r>
            <w:r w:rsidRPr="00155062">
              <w:rPr>
                <w:b/>
                <w:sz w:val="18"/>
                <w:szCs w:val="18"/>
                <w:vertAlign w:val="subscript"/>
              </w:rPr>
              <w:t>2.5</w:t>
            </w:r>
          </w:p>
        </w:tc>
        <w:tc>
          <w:tcPr>
            <w:tcW w:w="1301" w:type="dxa"/>
            <w:tcBorders>
              <w:top w:val="single" w:sz="4" w:space="0" w:color="auto"/>
              <w:left w:val="single" w:sz="4" w:space="0" w:color="auto"/>
              <w:right w:val="single" w:sz="4" w:space="0" w:color="auto"/>
            </w:tcBorders>
            <w:shd w:val="clear" w:color="auto" w:fill="C6D9F1" w:themeFill="text2" w:themeFillTint="33"/>
          </w:tcPr>
          <w:p w:rsidR="00B144E8" w:rsidRPr="00155062" w:rsidRDefault="00B144E8" w:rsidP="002B022D">
            <w:pPr>
              <w:jc w:val="center"/>
              <w:rPr>
                <w:b/>
                <w:sz w:val="18"/>
                <w:szCs w:val="18"/>
              </w:rPr>
            </w:pPr>
          </w:p>
        </w:tc>
      </w:tr>
      <w:tr w:rsidR="00B144E8" w:rsidRPr="00A379B5" w:rsidTr="002B022D">
        <w:tc>
          <w:tcPr>
            <w:tcW w:w="3325" w:type="dxa"/>
            <w:vMerge/>
            <w:tcBorders>
              <w:left w:val="single" w:sz="4" w:space="0" w:color="auto"/>
              <w:bottom w:val="single" w:sz="4" w:space="0" w:color="auto"/>
              <w:right w:val="single" w:sz="4" w:space="0" w:color="auto"/>
            </w:tcBorders>
            <w:shd w:val="clear" w:color="auto" w:fill="C6D9F1" w:themeFill="text2" w:themeFillTint="33"/>
            <w:vAlign w:val="center"/>
          </w:tcPr>
          <w:p w:rsidR="00B144E8" w:rsidRPr="00155062" w:rsidRDefault="00B144E8" w:rsidP="002B022D">
            <w:pPr>
              <w:rPr>
                <w:b/>
                <w:sz w:val="18"/>
                <w:szCs w:val="18"/>
              </w:rPr>
            </w:pPr>
          </w:p>
        </w:tc>
        <w:tc>
          <w:tcPr>
            <w:tcW w:w="1311" w:type="dxa"/>
            <w:vMerge/>
            <w:tcBorders>
              <w:left w:val="single" w:sz="4" w:space="0" w:color="auto"/>
              <w:bottom w:val="single" w:sz="4" w:space="0" w:color="auto"/>
              <w:right w:val="single" w:sz="4" w:space="0" w:color="auto"/>
            </w:tcBorders>
            <w:shd w:val="clear" w:color="auto" w:fill="C6D9F1" w:themeFill="text2" w:themeFillTint="33"/>
          </w:tcPr>
          <w:p w:rsidR="00B144E8" w:rsidRPr="00155062" w:rsidRDefault="00B144E8" w:rsidP="002B022D">
            <w:pPr>
              <w:rPr>
                <w:b/>
                <w:sz w:val="18"/>
                <w:szCs w:val="18"/>
              </w:rPr>
            </w:pPr>
          </w:p>
        </w:tc>
        <w:tc>
          <w:tcPr>
            <w:tcW w:w="866" w:type="dxa"/>
            <w:tcBorders>
              <w:left w:val="single" w:sz="4" w:space="0" w:color="auto"/>
              <w:bottom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Annual (TPY)</w:t>
            </w:r>
          </w:p>
        </w:tc>
        <w:tc>
          <w:tcPr>
            <w:tcW w:w="1253" w:type="dxa"/>
            <w:tcBorders>
              <w:bottom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24-hour</w:t>
            </w:r>
          </w:p>
          <w:p w:rsidR="00B144E8" w:rsidRPr="00155062" w:rsidRDefault="00B144E8" w:rsidP="002B022D">
            <w:pPr>
              <w:jc w:val="center"/>
              <w:rPr>
                <w:b/>
                <w:sz w:val="18"/>
                <w:szCs w:val="18"/>
              </w:rPr>
            </w:pPr>
            <w:r w:rsidRPr="00155062">
              <w:rPr>
                <w:b/>
                <w:sz w:val="18"/>
                <w:szCs w:val="18"/>
              </w:rPr>
              <w:t>(lb/hr)</w:t>
            </w:r>
          </w:p>
        </w:tc>
        <w:tc>
          <w:tcPr>
            <w:tcW w:w="915" w:type="dxa"/>
            <w:tcBorders>
              <w:left w:val="single" w:sz="4" w:space="0" w:color="auto"/>
              <w:bottom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Annual (TPY)</w:t>
            </w:r>
          </w:p>
        </w:tc>
        <w:tc>
          <w:tcPr>
            <w:tcW w:w="1104" w:type="dxa"/>
            <w:tcBorders>
              <w:bottom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24-hour (lb/hr)</w:t>
            </w:r>
          </w:p>
        </w:tc>
        <w:tc>
          <w:tcPr>
            <w:tcW w:w="1301" w:type="dxa"/>
            <w:tcBorders>
              <w:bottom w:val="single" w:sz="4" w:space="0" w:color="auto"/>
              <w:right w:val="single" w:sz="4" w:space="0" w:color="auto"/>
            </w:tcBorders>
            <w:shd w:val="clear" w:color="auto" w:fill="C6D9F1" w:themeFill="text2" w:themeFillTint="33"/>
          </w:tcPr>
          <w:p w:rsidR="00B144E8" w:rsidRPr="00155062" w:rsidRDefault="00B144E8" w:rsidP="002B022D">
            <w:pPr>
              <w:jc w:val="center"/>
              <w:rPr>
                <w:b/>
                <w:sz w:val="18"/>
                <w:szCs w:val="18"/>
              </w:rPr>
            </w:pPr>
            <w:r w:rsidRPr="00155062">
              <w:rPr>
                <w:b/>
                <w:sz w:val="18"/>
                <w:szCs w:val="18"/>
              </w:rPr>
              <w:t>Area source size (ft</w:t>
            </w:r>
            <w:r w:rsidRPr="00155062">
              <w:rPr>
                <w:b/>
                <w:sz w:val="18"/>
                <w:szCs w:val="18"/>
                <w:vertAlign w:val="superscript"/>
              </w:rPr>
              <w:t>2</w:t>
            </w:r>
            <w:r w:rsidRPr="00155062">
              <w:rPr>
                <w:b/>
                <w:sz w:val="18"/>
                <w:szCs w:val="18"/>
              </w:rPr>
              <w:t>)</w:t>
            </w:r>
          </w:p>
        </w:tc>
      </w:tr>
      <w:tr w:rsidR="00B144E8" w:rsidRPr="00A379B5" w:rsidTr="002B022D">
        <w:trPr>
          <w:trHeight w:val="143"/>
        </w:trPr>
        <w:tc>
          <w:tcPr>
            <w:tcW w:w="3325" w:type="dxa"/>
            <w:tcBorders>
              <w:top w:val="single" w:sz="4" w:space="0" w:color="auto"/>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Bagasse boiler</w:t>
            </w:r>
          </w:p>
        </w:tc>
        <w:tc>
          <w:tcPr>
            <w:tcW w:w="1311" w:type="dxa"/>
            <w:tcBorders>
              <w:top w:val="single" w:sz="4" w:space="0" w:color="auto"/>
              <w:left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Point</w:t>
            </w:r>
          </w:p>
        </w:tc>
        <w:tc>
          <w:tcPr>
            <w:tcW w:w="866" w:type="dxa"/>
            <w:tcBorders>
              <w:top w:val="single" w:sz="4" w:space="0" w:color="auto"/>
              <w:left w:val="single" w:sz="4" w:space="0" w:color="auto"/>
            </w:tcBorders>
            <w:vAlign w:val="center"/>
          </w:tcPr>
          <w:p w:rsidR="00B144E8" w:rsidRPr="00155062" w:rsidRDefault="00B144E8" w:rsidP="002B022D">
            <w:pPr>
              <w:jc w:val="center"/>
              <w:rPr>
                <w:sz w:val="18"/>
                <w:szCs w:val="18"/>
              </w:rPr>
            </w:pPr>
            <w:r w:rsidRPr="00155062">
              <w:rPr>
                <w:sz w:val="18"/>
                <w:szCs w:val="18"/>
              </w:rPr>
              <w:t>49.76</w:t>
            </w:r>
          </w:p>
        </w:tc>
        <w:tc>
          <w:tcPr>
            <w:tcW w:w="1253" w:type="dxa"/>
            <w:tcBorders>
              <w:top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11.92</w:t>
            </w:r>
          </w:p>
        </w:tc>
        <w:tc>
          <w:tcPr>
            <w:tcW w:w="915" w:type="dxa"/>
            <w:tcBorders>
              <w:top w:val="single" w:sz="4" w:space="0" w:color="auto"/>
              <w:left w:val="single" w:sz="4" w:space="0" w:color="auto"/>
            </w:tcBorders>
            <w:vAlign w:val="center"/>
          </w:tcPr>
          <w:p w:rsidR="00B144E8" w:rsidRPr="00155062" w:rsidRDefault="00B144E8" w:rsidP="002B022D">
            <w:pPr>
              <w:jc w:val="center"/>
              <w:rPr>
                <w:sz w:val="18"/>
                <w:szCs w:val="18"/>
              </w:rPr>
            </w:pPr>
            <w:r w:rsidRPr="00155062">
              <w:rPr>
                <w:sz w:val="18"/>
                <w:szCs w:val="18"/>
              </w:rPr>
              <w:t>40.09</w:t>
            </w:r>
          </w:p>
        </w:tc>
        <w:tc>
          <w:tcPr>
            <w:tcW w:w="1104" w:type="dxa"/>
            <w:tcBorders>
              <w:top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9.51</w:t>
            </w:r>
          </w:p>
        </w:tc>
        <w:tc>
          <w:tcPr>
            <w:tcW w:w="1301" w:type="dxa"/>
            <w:tcBorders>
              <w:top w:val="single" w:sz="4" w:space="0" w:color="auto"/>
              <w:right w:val="single" w:sz="4" w:space="0" w:color="auto"/>
            </w:tcBorders>
          </w:tcPr>
          <w:p w:rsidR="00B144E8" w:rsidRPr="00155062" w:rsidRDefault="00B144E8" w:rsidP="002B022D">
            <w:pPr>
              <w:jc w:val="center"/>
              <w:rPr>
                <w:sz w:val="18"/>
                <w:szCs w:val="18"/>
              </w:rPr>
            </w:pPr>
          </w:p>
        </w:tc>
      </w:tr>
      <w:tr w:rsidR="00B144E8" w:rsidRPr="00A379B5" w:rsidTr="002B022D">
        <w:tc>
          <w:tcPr>
            <w:tcW w:w="3325" w:type="dxa"/>
            <w:tcBorders>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Cooling tower</w:t>
            </w:r>
          </w:p>
        </w:tc>
        <w:tc>
          <w:tcPr>
            <w:tcW w:w="1311" w:type="dxa"/>
            <w:tcBorders>
              <w:left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Point</w:t>
            </w:r>
          </w:p>
        </w:tc>
        <w:tc>
          <w:tcPr>
            <w:tcW w:w="866"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0.19</w:t>
            </w:r>
          </w:p>
        </w:tc>
        <w:tc>
          <w:tcPr>
            <w:tcW w:w="1253"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0.043</w:t>
            </w:r>
          </w:p>
        </w:tc>
        <w:tc>
          <w:tcPr>
            <w:tcW w:w="915"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0.19</w:t>
            </w:r>
          </w:p>
        </w:tc>
        <w:tc>
          <w:tcPr>
            <w:tcW w:w="1104"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0.043</w:t>
            </w:r>
          </w:p>
        </w:tc>
        <w:tc>
          <w:tcPr>
            <w:tcW w:w="1301" w:type="dxa"/>
            <w:tcBorders>
              <w:right w:val="single" w:sz="4" w:space="0" w:color="auto"/>
            </w:tcBorders>
          </w:tcPr>
          <w:p w:rsidR="00B144E8" w:rsidRPr="00155062" w:rsidRDefault="00B144E8" w:rsidP="002B022D">
            <w:pPr>
              <w:jc w:val="center"/>
              <w:rPr>
                <w:sz w:val="18"/>
                <w:szCs w:val="18"/>
              </w:rPr>
            </w:pPr>
          </w:p>
        </w:tc>
      </w:tr>
      <w:tr w:rsidR="00B144E8" w:rsidRPr="00A379B5" w:rsidTr="002B022D">
        <w:tc>
          <w:tcPr>
            <w:tcW w:w="3325" w:type="dxa"/>
            <w:tcBorders>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Flare</w:t>
            </w:r>
          </w:p>
        </w:tc>
        <w:tc>
          <w:tcPr>
            <w:tcW w:w="1311" w:type="dxa"/>
            <w:tcBorders>
              <w:left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Point</w:t>
            </w:r>
          </w:p>
        </w:tc>
        <w:tc>
          <w:tcPr>
            <w:tcW w:w="866"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0.052</w:t>
            </w:r>
          </w:p>
        </w:tc>
        <w:tc>
          <w:tcPr>
            <w:tcW w:w="1253"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0.034</w:t>
            </w:r>
          </w:p>
        </w:tc>
        <w:tc>
          <w:tcPr>
            <w:tcW w:w="915"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0.052</w:t>
            </w:r>
          </w:p>
        </w:tc>
        <w:tc>
          <w:tcPr>
            <w:tcW w:w="1104"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0.034</w:t>
            </w:r>
          </w:p>
        </w:tc>
        <w:tc>
          <w:tcPr>
            <w:tcW w:w="1301" w:type="dxa"/>
            <w:tcBorders>
              <w:right w:val="single" w:sz="4" w:space="0" w:color="auto"/>
            </w:tcBorders>
          </w:tcPr>
          <w:p w:rsidR="00B144E8" w:rsidRPr="00155062" w:rsidRDefault="00B144E8" w:rsidP="002B022D">
            <w:pPr>
              <w:jc w:val="center"/>
              <w:rPr>
                <w:sz w:val="18"/>
                <w:szCs w:val="18"/>
              </w:rPr>
            </w:pPr>
          </w:p>
        </w:tc>
      </w:tr>
      <w:tr w:rsidR="00B144E8" w:rsidRPr="00A379B5" w:rsidTr="002B022D">
        <w:tc>
          <w:tcPr>
            <w:tcW w:w="3325" w:type="dxa"/>
            <w:tcBorders>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Ash silo</w:t>
            </w:r>
          </w:p>
        </w:tc>
        <w:tc>
          <w:tcPr>
            <w:tcW w:w="1311" w:type="dxa"/>
            <w:tcBorders>
              <w:left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Point</w:t>
            </w:r>
          </w:p>
        </w:tc>
        <w:tc>
          <w:tcPr>
            <w:tcW w:w="866"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0.847</w:t>
            </w:r>
          </w:p>
        </w:tc>
        <w:tc>
          <w:tcPr>
            <w:tcW w:w="1253"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0.21</w:t>
            </w:r>
          </w:p>
        </w:tc>
        <w:tc>
          <w:tcPr>
            <w:tcW w:w="915"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0.847</w:t>
            </w:r>
          </w:p>
        </w:tc>
        <w:tc>
          <w:tcPr>
            <w:tcW w:w="1104"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0.21</w:t>
            </w:r>
          </w:p>
        </w:tc>
        <w:tc>
          <w:tcPr>
            <w:tcW w:w="1301" w:type="dxa"/>
            <w:tcBorders>
              <w:right w:val="single" w:sz="4" w:space="0" w:color="auto"/>
            </w:tcBorders>
          </w:tcPr>
          <w:p w:rsidR="00B144E8" w:rsidRPr="00155062" w:rsidRDefault="00B144E8" w:rsidP="002B022D">
            <w:pPr>
              <w:jc w:val="center"/>
              <w:rPr>
                <w:sz w:val="18"/>
                <w:szCs w:val="18"/>
              </w:rPr>
            </w:pPr>
          </w:p>
        </w:tc>
      </w:tr>
      <w:tr w:rsidR="00B144E8" w:rsidRPr="00A379B5" w:rsidTr="002B022D">
        <w:tc>
          <w:tcPr>
            <w:tcW w:w="3325" w:type="dxa"/>
            <w:tcBorders>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Lime silo 1</w:t>
            </w:r>
          </w:p>
        </w:tc>
        <w:tc>
          <w:tcPr>
            <w:tcW w:w="1311" w:type="dxa"/>
            <w:tcBorders>
              <w:left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Point</w:t>
            </w:r>
          </w:p>
        </w:tc>
        <w:tc>
          <w:tcPr>
            <w:tcW w:w="866"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0.002</w:t>
            </w:r>
          </w:p>
        </w:tc>
        <w:tc>
          <w:tcPr>
            <w:tcW w:w="1253"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0.21</w:t>
            </w:r>
          </w:p>
        </w:tc>
        <w:tc>
          <w:tcPr>
            <w:tcW w:w="915"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0.002</w:t>
            </w:r>
          </w:p>
        </w:tc>
        <w:tc>
          <w:tcPr>
            <w:tcW w:w="1104"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0.21</w:t>
            </w:r>
          </w:p>
        </w:tc>
        <w:tc>
          <w:tcPr>
            <w:tcW w:w="1301" w:type="dxa"/>
            <w:tcBorders>
              <w:right w:val="single" w:sz="4" w:space="0" w:color="auto"/>
            </w:tcBorders>
          </w:tcPr>
          <w:p w:rsidR="00B144E8" w:rsidRPr="00155062" w:rsidRDefault="00B144E8" w:rsidP="002B022D">
            <w:pPr>
              <w:jc w:val="center"/>
              <w:rPr>
                <w:sz w:val="18"/>
                <w:szCs w:val="18"/>
              </w:rPr>
            </w:pPr>
          </w:p>
        </w:tc>
      </w:tr>
      <w:tr w:rsidR="00B144E8" w:rsidRPr="00A379B5" w:rsidTr="002B022D">
        <w:tc>
          <w:tcPr>
            <w:tcW w:w="3325" w:type="dxa"/>
            <w:tcBorders>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Lime silo 2</w:t>
            </w:r>
          </w:p>
        </w:tc>
        <w:tc>
          <w:tcPr>
            <w:tcW w:w="1311" w:type="dxa"/>
            <w:tcBorders>
              <w:left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Point</w:t>
            </w:r>
          </w:p>
        </w:tc>
        <w:tc>
          <w:tcPr>
            <w:tcW w:w="866"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0.00042</w:t>
            </w:r>
          </w:p>
        </w:tc>
        <w:tc>
          <w:tcPr>
            <w:tcW w:w="1253"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0.21</w:t>
            </w:r>
          </w:p>
        </w:tc>
        <w:tc>
          <w:tcPr>
            <w:tcW w:w="915"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0.00042</w:t>
            </w:r>
          </w:p>
        </w:tc>
        <w:tc>
          <w:tcPr>
            <w:tcW w:w="1104"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0.21</w:t>
            </w:r>
          </w:p>
        </w:tc>
        <w:tc>
          <w:tcPr>
            <w:tcW w:w="1301" w:type="dxa"/>
            <w:tcBorders>
              <w:right w:val="single" w:sz="4" w:space="0" w:color="auto"/>
            </w:tcBorders>
          </w:tcPr>
          <w:p w:rsidR="00B144E8" w:rsidRPr="00155062" w:rsidRDefault="00B144E8" w:rsidP="002B022D">
            <w:pPr>
              <w:jc w:val="center"/>
              <w:rPr>
                <w:sz w:val="18"/>
                <w:szCs w:val="18"/>
              </w:rPr>
            </w:pPr>
          </w:p>
        </w:tc>
      </w:tr>
      <w:tr w:rsidR="00B144E8" w:rsidRPr="00A379B5" w:rsidTr="002B022D">
        <w:tc>
          <w:tcPr>
            <w:tcW w:w="3325" w:type="dxa"/>
            <w:tcBorders>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Biomass materials handling</w:t>
            </w:r>
          </w:p>
        </w:tc>
        <w:tc>
          <w:tcPr>
            <w:tcW w:w="1311" w:type="dxa"/>
            <w:tcBorders>
              <w:left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Area</w:t>
            </w:r>
          </w:p>
        </w:tc>
        <w:tc>
          <w:tcPr>
            <w:tcW w:w="866"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0.047</w:t>
            </w:r>
          </w:p>
        </w:tc>
        <w:tc>
          <w:tcPr>
            <w:tcW w:w="1253"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0.051</w:t>
            </w:r>
          </w:p>
        </w:tc>
        <w:tc>
          <w:tcPr>
            <w:tcW w:w="915"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0.0071</w:t>
            </w:r>
          </w:p>
        </w:tc>
        <w:tc>
          <w:tcPr>
            <w:tcW w:w="1104"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0.0077</w:t>
            </w:r>
          </w:p>
        </w:tc>
        <w:tc>
          <w:tcPr>
            <w:tcW w:w="1301" w:type="dxa"/>
            <w:tcBorders>
              <w:right w:val="single" w:sz="4" w:space="0" w:color="auto"/>
            </w:tcBorders>
          </w:tcPr>
          <w:p w:rsidR="00B144E8" w:rsidRPr="00155062" w:rsidRDefault="00B144E8" w:rsidP="002B022D">
            <w:pPr>
              <w:jc w:val="center"/>
              <w:rPr>
                <w:sz w:val="18"/>
                <w:szCs w:val="18"/>
              </w:rPr>
            </w:pPr>
            <w:r w:rsidRPr="00155062">
              <w:rPr>
                <w:sz w:val="18"/>
                <w:szCs w:val="18"/>
              </w:rPr>
              <w:t>32,500</w:t>
            </w:r>
          </w:p>
        </w:tc>
      </w:tr>
      <w:tr w:rsidR="00B144E8" w:rsidRPr="00A379B5" w:rsidTr="002B022D">
        <w:tc>
          <w:tcPr>
            <w:tcW w:w="3325" w:type="dxa"/>
            <w:tcBorders>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Biomass pile wind erosion</w:t>
            </w:r>
          </w:p>
        </w:tc>
        <w:tc>
          <w:tcPr>
            <w:tcW w:w="1311" w:type="dxa"/>
            <w:tcBorders>
              <w:left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Area</w:t>
            </w:r>
          </w:p>
        </w:tc>
        <w:tc>
          <w:tcPr>
            <w:tcW w:w="866"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0.11</w:t>
            </w:r>
          </w:p>
        </w:tc>
        <w:tc>
          <w:tcPr>
            <w:tcW w:w="1253"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0.29</w:t>
            </w:r>
          </w:p>
        </w:tc>
        <w:tc>
          <w:tcPr>
            <w:tcW w:w="915"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0.11</w:t>
            </w:r>
          </w:p>
        </w:tc>
        <w:tc>
          <w:tcPr>
            <w:tcW w:w="1104"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0.29</w:t>
            </w:r>
          </w:p>
        </w:tc>
        <w:tc>
          <w:tcPr>
            <w:tcW w:w="1301" w:type="dxa"/>
            <w:tcBorders>
              <w:right w:val="single" w:sz="4" w:space="0" w:color="auto"/>
            </w:tcBorders>
          </w:tcPr>
          <w:p w:rsidR="00B144E8" w:rsidRPr="00155062" w:rsidRDefault="00B144E8" w:rsidP="002B022D">
            <w:pPr>
              <w:jc w:val="center"/>
              <w:rPr>
                <w:sz w:val="18"/>
                <w:szCs w:val="18"/>
              </w:rPr>
            </w:pPr>
            <w:r w:rsidRPr="00155062">
              <w:rPr>
                <w:sz w:val="18"/>
                <w:szCs w:val="18"/>
              </w:rPr>
              <w:t>100,000</w:t>
            </w:r>
          </w:p>
        </w:tc>
      </w:tr>
      <w:tr w:rsidR="00B144E8" w:rsidRPr="00A379B5" w:rsidTr="002B022D">
        <w:tc>
          <w:tcPr>
            <w:tcW w:w="3325" w:type="dxa"/>
            <w:tcBorders>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Biomass pile vehicular maintenance</w:t>
            </w:r>
          </w:p>
        </w:tc>
        <w:tc>
          <w:tcPr>
            <w:tcW w:w="1311" w:type="dxa"/>
            <w:tcBorders>
              <w:left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Area</w:t>
            </w:r>
          </w:p>
        </w:tc>
        <w:tc>
          <w:tcPr>
            <w:tcW w:w="866"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1.39</w:t>
            </w:r>
          </w:p>
        </w:tc>
        <w:tc>
          <w:tcPr>
            <w:tcW w:w="1253"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0.45</w:t>
            </w:r>
          </w:p>
        </w:tc>
        <w:tc>
          <w:tcPr>
            <w:tcW w:w="915"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0.14</w:t>
            </w:r>
          </w:p>
        </w:tc>
        <w:tc>
          <w:tcPr>
            <w:tcW w:w="1104"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0.046</w:t>
            </w:r>
          </w:p>
        </w:tc>
        <w:tc>
          <w:tcPr>
            <w:tcW w:w="1301" w:type="dxa"/>
            <w:tcBorders>
              <w:right w:val="single" w:sz="4" w:space="0" w:color="auto"/>
            </w:tcBorders>
          </w:tcPr>
          <w:p w:rsidR="00B144E8" w:rsidRPr="00155062" w:rsidRDefault="00B144E8" w:rsidP="002B022D">
            <w:pPr>
              <w:jc w:val="center"/>
              <w:rPr>
                <w:sz w:val="18"/>
                <w:szCs w:val="18"/>
              </w:rPr>
            </w:pPr>
            <w:r w:rsidRPr="00155062">
              <w:rPr>
                <w:sz w:val="18"/>
                <w:szCs w:val="18"/>
              </w:rPr>
              <w:t>100,000</w:t>
            </w:r>
          </w:p>
        </w:tc>
      </w:tr>
      <w:tr w:rsidR="00B144E8" w:rsidRPr="00A379B5" w:rsidTr="002B022D">
        <w:tc>
          <w:tcPr>
            <w:tcW w:w="3325" w:type="dxa"/>
            <w:tcBorders>
              <w:left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Biomass truck traffic</w:t>
            </w:r>
          </w:p>
        </w:tc>
        <w:tc>
          <w:tcPr>
            <w:tcW w:w="1311" w:type="dxa"/>
            <w:tcBorders>
              <w:left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Line</w:t>
            </w:r>
          </w:p>
        </w:tc>
        <w:tc>
          <w:tcPr>
            <w:tcW w:w="866"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0.29</w:t>
            </w:r>
          </w:p>
        </w:tc>
        <w:tc>
          <w:tcPr>
            <w:tcW w:w="1253"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0.067</w:t>
            </w:r>
          </w:p>
        </w:tc>
        <w:tc>
          <w:tcPr>
            <w:tcW w:w="915" w:type="dxa"/>
            <w:tcBorders>
              <w:left w:val="single" w:sz="4" w:space="0" w:color="auto"/>
            </w:tcBorders>
            <w:vAlign w:val="center"/>
          </w:tcPr>
          <w:p w:rsidR="00B144E8" w:rsidRPr="00155062" w:rsidRDefault="00B144E8" w:rsidP="002B022D">
            <w:pPr>
              <w:jc w:val="center"/>
              <w:rPr>
                <w:sz w:val="18"/>
                <w:szCs w:val="18"/>
              </w:rPr>
            </w:pPr>
            <w:r w:rsidRPr="00155062">
              <w:rPr>
                <w:sz w:val="18"/>
                <w:szCs w:val="18"/>
              </w:rPr>
              <w:t>0.072</w:t>
            </w:r>
          </w:p>
        </w:tc>
        <w:tc>
          <w:tcPr>
            <w:tcW w:w="1104" w:type="dxa"/>
            <w:tcBorders>
              <w:right w:val="single" w:sz="4" w:space="0" w:color="auto"/>
            </w:tcBorders>
            <w:vAlign w:val="center"/>
          </w:tcPr>
          <w:p w:rsidR="00B144E8" w:rsidRPr="00155062" w:rsidRDefault="00B144E8" w:rsidP="002B022D">
            <w:pPr>
              <w:jc w:val="center"/>
              <w:rPr>
                <w:sz w:val="18"/>
                <w:szCs w:val="18"/>
              </w:rPr>
            </w:pPr>
            <w:r w:rsidRPr="00155062">
              <w:rPr>
                <w:sz w:val="18"/>
                <w:szCs w:val="18"/>
              </w:rPr>
              <w:t>0.017</w:t>
            </w:r>
          </w:p>
        </w:tc>
        <w:tc>
          <w:tcPr>
            <w:tcW w:w="1301" w:type="dxa"/>
            <w:tcBorders>
              <w:right w:val="single" w:sz="4" w:space="0" w:color="auto"/>
            </w:tcBorders>
          </w:tcPr>
          <w:p w:rsidR="00B144E8" w:rsidRPr="00155062" w:rsidRDefault="00B144E8" w:rsidP="002B022D">
            <w:pPr>
              <w:jc w:val="center"/>
              <w:rPr>
                <w:sz w:val="18"/>
                <w:szCs w:val="18"/>
              </w:rPr>
            </w:pPr>
          </w:p>
        </w:tc>
      </w:tr>
      <w:tr w:rsidR="00B144E8" w:rsidRPr="00A379B5" w:rsidTr="002B022D">
        <w:tc>
          <w:tcPr>
            <w:tcW w:w="3325" w:type="dxa"/>
            <w:tcBorders>
              <w:left w:val="single" w:sz="4" w:space="0" w:color="auto"/>
              <w:bottom w:val="single" w:sz="4" w:space="0" w:color="auto"/>
              <w:right w:val="single" w:sz="4" w:space="0" w:color="auto"/>
            </w:tcBorders>
            <w:shd w:val="clear" w:color="auto" w:fill="C6D9F1" w:themeFill="text2" w:themeFillTint="33"/>
            <w:vAlign w:val="center"/>
          </w:tcPr>
          <w:p w:rsidR="00B144E8" w:rsidRPr="00155062" w:rsidRDefault="00B144E8" w:rsidP="002B022D">
            <w:pPr>
              <w:jc w:val="center"/>
              <w:rPr>
                <w:b/>
                <w:sz w:val="18"/>
                <w:szCs w:val="18"/>
              </w:rPr>
            </w:pPr>
            <w:r w:rsidRPr="00155062">
              <w:rPr>
                <w:b/>
                <w:sz w:val="18"/>
                <w:szCs w:val="18"/>
              </w:rPr>
              <w:t>Other truck traffic</w:t>
            </w:r>
          </w:p>
        </w:tc>
        <w:tc>
          <w:tcPr>
            <w:tcW w:w="1311" w:type="dxa"/>
            <w:tcBorders>
              <w:left w:val="single" w:sz="4" w:space="0" w:color="auto"/>
              <w:bottom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Line</w:t>
            </w:r>
          </w:p>
        </w:tc>
        <w:tc>
          <w:tcPr>
            <w:tcW w:w="866" w:type="dxa"/>
            <w:tcBorders>
              <w:left w:val="single" w:sz="4" w:space="0" w:color="auto"/>
              <w:bottom w:val="single" w:sz="4" w:space="0" w:color="auto"/>
            </w:tcBorders>
            <w:vAlign w:val="center"/>
          </w:tcPr>
          <w:p w:rsidR="00B144E8" w:rsidRPr="00155062" w:rsidRDefault="00B144E8" w:rsidP="002B022D">
            <w:pPr>
              <w:jc w:val="center"/>
              <w:rPr>
                <w:sz w:val="18"/>
                <w:szCs w:val="18"/>
              </w:rPr>
            </w:pPr>
            <w:r w:rsidRPr="00155062">
              <w:rPr>
                <w:sz w:val="18"/>
                <w:szCs w:val="18"/>
              </w:rPr>
              <w:t>0.011</w:t>
            </w:r>
          </w:p>
        </w:tc>
        <w:tc>
          <w:tcPr>
            <w:tcW w:w="1253" w:type="dxa"/>
            <w:tcBorders>
              <w:bottom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0.0027</w:t>
            </w:r>
          </w:p>
        </w:tc>
        <w:tc>
          <w:tcPr>
            <w:tcW w:w="915" w:type="dxa"/>
            <w:tcBorders>
              <w:left w:val="single" w:sz="4" w:space="0" w:color="auto"/>
              <w:bottom w:val="single" w:sz="4" w:space="0" w:color="auto"/>
            </w:tcBorders>
            <w:vAlign w:val="center"/>
          </w:tcPr>
          <w:p w:rsidR="00B144E8" w:rsidRPr="00155062" w:rsidRDefault="00B144E8" w:rsidP="002B022D">
            <w:pPr>
              <w:jc w:val="center"/>
              <w:rPr>
                <w:sz w:val="18"/>
                <w:szCs w:val="18"/>
              </w:rPr>
            </w:pPr>
            <w:r w:rsidRPr="00155062">
              <w:rPr>
                <w:sz w:val="18"/>
                <w:szCs w:val="18"/>
              </w:rPr>
              <w:t>0.0028</w:t>
            </w:r>
          </w:p>
        </w:tc>
        <w:tc>
          <w:tcPr>
            <w:tcW w:w="1104" w:type="dxa"/>
            <w:tcBorders>
              <w:bottom w:val="single" w:sz="4" w:space="0" w:color="auto"/>
              <w:right w:val="single" w:sz="4" w:space="0" w:color="auto"/>
            </w:tcBorders>
            <w:vAlign w:val="center"/>
          </w:tcPr>
          <w:p w:rsidR="00B144E8" w:rsidRPr="00155062" w:rsidRDefault="00B144E8" w:rsidP="002B022D">
            <w:pPr>
              <w:jc w:val="center"/>
              <w:rPr>
                <w:sz w:val="18"/>
                <w:szCs w:val="18"/>
              </w:rPr>
            </w:pPr>
            <w:r w:rsidRPr="00155062">
              <w:rPr>
                <w:sz w:val="18"/>
                <w:szCs w:val="18"/>
              </w:rPr>
              <w:t>6.67E-04</w:t>
            </w:r>
          </w:p>
        </w:tc>
        <w:tc>
          <w:tcPr>
            <w:tcW w:w="1301" w:type="dxa"/>
            <w:tcBorders>
              <w:bottom w:val="single" w:sz="4" w:space="0" w:color="auto"/>
              <w:right w:val="single" w:sz="4" w:space="0" w:color="auto"/>
            </w:tcBorders>
          </w:tcPr>
          <w:p w:rsidR="00B144E8" w:rsidRPr="00155062" w:rsidRDefault="00B144E8" w:rsidP="002B022D">
            <w:pPr>
              <w:jc w:val="center"/>
              <w:rPr>
                <w:sz w:val="18"/>
                <w:szCs w:val="18"/>
              </w:rPr>
            </w:pPr>
          </w:p>
        </w:tc>
      </w:tr>
    </w:tbl>
    <w:p w:rsidR="007A792F" w:rsidRDefault="007A792F" w:rsidP="00155062">
      <w:pPr>
        <w:pStyle w:val="ListParagraph"/>
        <w:widowControl w:val="0"/>
        <w:numPr>
          <w:ilvl w:val="3"/>
          <w:numId w:val="15"/>
        </w:numPr>
        <w:spacing w:before="120" w:after="120"/>
        <w:ind w:left="720" w:hanging="720"/>
        <w:contextualSpacing w:val="0"/>
        <w:jc w:val="both"/>
        <w:rPr>
          <w:i/>
          <w:sz w:val="22"/>
          <w:szCs w:val="22"/>
        </w:rPr>
      </w:pPr>
      <w:r w:rsidRPr="0084039C">
        <w:rPr>
          <w:i/>
          <w:sz w:val="22"/>
          <w:szCs w:val="22"/>
        </w:rPr>
        <w:lastRenderedPageBreak/>
        <w:t>Result</w:t>
      </w:r>
      <w:r>
        <w:rPr>
          <w:i/>
          <w:sz w:val="22"/>
          <w:szCs w:val="22"/>
        </w:rPr>
        <w:t>s</w:t>
      </w:r>
    </w:p>
    <w:p w:rsidR="007A792F" w:rsidRDefault="007A792F" w:rsidP="007A792F">
      <w:pPr>
        <w:widowControl w:val="0"/>
        <w:spacing w:after="120"/>
        <w:jc w:val="both"/>
        <w:rPr>
          <w:sz w:val="22"/>
          <w:szCs w:val="22"/>
        </w:rPr>
      </w:pPr>
      <w:r>
        <w:rPr>
          <w:sz w:val="22"/>
          <w:szCs w:val="22"/>
        </w:rPr>
        <w:t xml:space="preserve">The results of the SIL modeling summarized in </w:t>
      </w:r>
      <w:r w:rsidRPr="002A6823">
        <w:rPr>
          <w:b/>
          <w:sz w:val="22"/>
          <w:szCs w:val="22"/>
        </w:rPr>
        <w:fldChar w:fldCharType="begin"/>
      </w:r>
      <w:r w:rsidRPr="002A6823">
        <w:rPr>
          <w:b/>
          <w:sz w:val="22"/>
          <w:szCs w:val="22"/>
        </w:rPr>
        <w:instrText xml:space="preserve"> REF _Ref485729056 \h  \* MERGEFORMAT </w:instrText>
      </w:r>
      <w:r w:rsidRPr="002A6823">
        <w:rPr>
          <w:b/>
          <w:sz w:val="22"/>
          <w:szCs w:val="22"/>
        </w:rPr>
      </w:r>
      <w:r w:rsidRPr="002A6823">
        <w:rPr>
          <w:b/>
          <w:sz w:val="22"/>
          <w:szCs w:val="22"/>
        </w:rPr>
        <w:fldChar w:fldCharType="separate"/>
      </w:r>
      <w:r w:rsidR="005A4C55" w:rsidRPr="005A4C55">
        <w:rPr>
          <w:b/>
          <w:sz w:val="22"/>
          <w:szCs w:val="22"/>
        </w:rPr>
        <w:t xml:space="preserve">Table </w:t>
      </w:r>
      <w:r w:rsidR="005A4C55" w:rsidRPr="005A4C55">
        <w:rPr>
          <w:b/>
          <w:noProof/>
          <w:sz w:val="22"/>
          <w:szCs w:val="22"/>
        </w:rPr>
        <w:t>9</w:t>
      </w:r>
      <w:r w:rsidRPr="002A6823">
        <w:rPr>
          <w:b/>
          <w:sz w:val="22"/>
          <w:szCs w:val="22"/>
        </w:rPr>
        <w:fldChar w:fldCharType="end"/>
      </w:r>
      <w:r>
        <w:rPr>
          <w:sz w:val="22"/>
          <w:szCs w:val="22"/>
        </w:rPr>
        <w:t xml:space="preserve"> indicate that refined cumulative source modeling is required for 24-hour and annual average PM</w:t>
      </w:r>
      <w:r w:rsidRPr="00DC7B30">
        <w:rPr>
          <w:sz w:val="22"/>
          <w:szCs w:val="22"/>
          <w:vertAlign w:val="subscript"/>
        </w:rPr>
        <w:t>10</w:t>
      </w:r>
      <w:r>
        <w:rPr>
          <w:sz w:val="22"/>
          <w:szCs w:val="22"/>
        </w:rPr>
        <w:t xml:space="preserve"> and PM</w:t>
      </w:r>
      <w:r w:rsidRPr="00DC7B30">
        <w:rPr>
          <w:sz w:val="22"/>
          <w:szCs w:val="22"/>
          <w:vertAlign w:val="subscript"/>
        </w:rPr>
        <w:t>2.5</w:t>
      </w:r>
      <w:r>
        <w:rPr>
          <w:sz w:val="22"/>
          <w:szCs w:val="22"/>
        </w:rPr>
        <w:t xml:space="preserve"> impacts to demonstrate compliance with the NAAQS.</w:t>
      </w:r>
    </w:p>
    <w:p w:rsidR="007A792F" w:rsidRDefault="007A792F" w:rsidP="00155062">
      <w:pPr>
        <w:pStyle w:val="Caption"/>
        <w:spacing w:before="120"/>
        <w:jc w:val="center"/>
      </w:pPr>
      <w:bookmarkStart w:id="27" w:name="_Ref485729056"/>
      <w:r>
        <w:t xml:space="preserve">Table </w:t>
      </w:r>
      <w:fldSimple w:instr=" SEQ Table \* ARABIC ">
        <w:r w:rsidR="00CF4EEA">
          <w:rPr>
            <w:noProof/>
          </w:rPr>
          <w:t>9</w:t>
        </w:r>
      </w:fldSimple>
      <w:bookmarkEnd w:id="27"/>
      <w:r>
        <w:t xml:space="preserve"> - </w:t>
      </w:r>
      <w:r w:rsidRPr="008207D4">
        <w:t>MAXIMUM PREDICTED AIR QUALITY IMPACTS FOR THE PROJECT, COMPARED TO THE CLASS II SILS.</w:t>
      </w:r>
    </w:p>
    <w:tbl>
      <w:tblPr>
        <w:tblW w:w="5000" w:type="pct"/>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75"/>
        <w:gridCol w:w="1620"/>
        <w:gridCol w:w="2069"/>
        <w:gridCol w:w="1265"/>
        <w:gridCol w:w="1801"/>
        <w:gridCol w:w="2096"/>
      </w:tblGrid>
      <w:tr w:rsidR="007A792F" w:rsidRPr="004A2248" w:rsidTr="007A792F">
        <w:trPr>
          <w:cantSplit/>
          <w:trHeight w:val="368"/>
        </w:trPr>
        <w:tc>
          <w:tcPr>
            <w:tcW w:w="542" w:type="pct"/>
            <w:shd w:val="clear" w:color="auto" w:fill="C6D9F1" w:themeFill="text2" w:themeFillTint="33"/>
            <w:vAlign w:val="center"/>
          </w:tcPr>
          <w:p w:rsidR="007A792F" w:rsidRPr="00FF09C8" w:rsidRDefault="007A792F" w:rsidP="00155062">
            <w:pPr>
              <w:autoSpaceDE w:val="0"/>
              <w:autoSpaceDN w:val="0"/>
              <w:adjustRightInd w:val="0"/>
              <w:jc w:val="center"/>
              <w:rPr>
                <w:b/>
              </w:rPr>
            </w:pPr>
            <w:r>
              <w:rPr>
                <w:b/>
              </w:rPr>
              <w:t>Pollutant</w:t>
            </w:r>
          </w:p>
        </w:tc>
        <w:tc>
          <w:tcPr>
            <w:tcW w:w="816" w:type="pct"/>
            <w:shd w:val="clear" w:color="auto" w:fill="C6D9F1" w:themeFill="text2" w:themeFillTint="33"/>
            <w:vAlign w:val="center"/>
          </w:tcPr>
          <w:p w:rsidR="007A792F" w:rsidRPr="00FF09C8" w:rsidRDefault="007A792F" w:rsidP="00155062">
            <w:pPr>
              <w:keepLines/>
              <w:autoSpaceDE w:val="0"/>
              <w:autoSpaceDN w:val="0"/>
              <w:adjustRightInd w:val="0"/>
              <w:jc w:val="center"/>
              <w:rPr>
                <w:b/>
              </w:rPr>
            </w:pPr>
            <w:r w:rsidRPr="00FF09C8">
              <w:rPr>
                <w:b/>
              </w:rPr>
              <w:t>Averaging Time</w:t>
            </w:r>
          </w:p>
        </w:tc>
        <w:tc>
          <w:tcPr>
            <w:tcW w:w="1042" w:type="pct"/>
            <w:shd w:val="clear" w:color="auto" w:fill="C6D9F1" w:themeFill="text2" w:themeFillTint="33"/>
            <w:vAlign w:val="center"/>
          </w:tcPr>
          <w:p w:rsidR="007A792F" w:rsidRPr="00FF09C8" w:rsidRDefault="007A792F" w:rsidP="00155062">
            <w:pPr>
              <w:keepLines/>
              <w:autoSpaceDE w:val="0"/>
              <w:autoSpaceDN w:val="0"/>
              <w:adjustRightInd w:val="0"/>
              <w:jc w:val="center"/>
              <w:rPr>
                <w:b/>
              </w:rPr>
            </w:pPr>
            <w:r w:rsidRPr="00FF09C8">
              <w:rPr>
                <w:b/>
              </w:rPr>
              <w:t>Max Impact (μg/m</w:t>
            </w:r>
            <w:r w:rsidRPr="00FF09C8">
              <w:rPr>
                <w:b/>
                <w:vertAlign w:val="superscript"/>
              </w:rPr>
              <w:t>3</w:t>
            </w:r>
            <w:r w:rsidRPr="00FF09C8">
              <w:rPr>
                <w:b/>
              </w:rPr>
              <w:t>)</w:t>
            </w:r>
          </w:p>
        </w:tc>
        <w:tc>
          <w:tcPr>
            <w:tcW w:w="637" w:type="pct"/>
            <w:shd w:val="clear" w:color="auto" w:fill="C6D9F1" w:themeFill="text2" w:themeFillTint="33"/>
            <w:vAlign w:val="center"/>
          </w:tcPr>
          <w:p w:rsidR="007A792F" w:rsidRPr="00FF09C8" w:rsidRDefault="007A792F" w:rsidP="00155062">
            <w:pPr>
              <w:keepLines/>
              <w:autoSpaceDE w:val="0"/>
              <w:autoSpaceDN w:val="0"/>
              <w:adjustRightInd w:val="0"/>
              <w:jc w:val="center"/>
              <w:rPr>
                <w:b/>
              </w:rPr>
            </w:pPr>
            <w:r w:rsidRPr="00FF09C8">
              <w:rPr>
                <w:b/>
              </w:rPr>
              <w:t>SIL (μg/m</w:t>
            </w:r>
            <w:r w:rsidRPr="00FF09C8">
              <w:rPr>
                <w:b/>
                <w:vertAlign w:val="superscript"/>
              </w:rPr>
              <w:t>3</w:t>
            </w:r>
            <w:r w:rsidRPr="00FF09C8">
              <w:rPr>
                <w:b/>
              </w:rPr>
              <w:t>)</w:t>
            </w:r>
          </w:p>
        </w:tc>
        <w:tc>
          <w:tcPr>
            <w:tcW w:w="907" w:type="pct"/>
            <w:shd w:val="clear" w:color="auto" w:fill="C6D9F1" w:themeFill="text2" w:themeFillTint="33"/>
            <w:vAlign w:val="center"/>
          </w:tcPr>
          <w:p w:rsidR="007A792F" w:rsidRPr="00FF09C8" w:rsidRDefault="007A792F" w:rsidP="00155062">
            <w:pPr>
              <w:keepLines/>
              <w:autoSpaceDE w:val="0"/>
              <w:autoSpaceDN w:val="0"/>
              <w:adjustRightInd w:val="0"/>
              <w:jc w:val="center"/>
              <w:rPr>
                <w:b/>
              </w:rPr>
            </w:pPr>
            <w:r>
              <w:rPr>
                <w:b/>
              </w:rPr>
              <w:t>Percent of SIL</w:t>
            </w:r>
          </w:p>
        </w:tc>
        <w:tc>
          <w:tcPr>
            <w:tcW w:w="1056" w:type="pct"/>
            <w:shd w:val="clear" w:color="auto" w:fill="C6D9F1" w:themeFill="text2" w:themeFillTint="33"/>
            <w:vAlign w:val="center"/>
          </w:tcPr>
          <w:p w:rsidR="007A792F" w:rsidRPr="00FF09C8" w:rsidRDefault="007A792F" w:rsidP="00155062">
            <w:pPr>
              <w:keepLines/>
              <w:autoSpaceDE w:val="0"/>
              <w:autoSpaceDN w:val="0"/>
              <w:adjustRightInd w:val="0"/>
              <w:jc w:val="center"/>
              <w:rPr>
                <w:b/>
              </w:rPr>
            </w:pPr>
            <w:r w:rsidRPr="00FF09C8">
              <w:rPr>
                <w:b/>
              </w:rPr>
              <w:t>Significant Impact?</w:t>
            </w:r>
          </w:p>
        </w:tc>
      </w:tr>
      <w:tr w:rsidR="007A792F" w:rsidRPr="004A2248" w:rsidTr="007A792F">
        <w:trPr>
          <w:cantSplit/>
          <w:trHeight w:val="20"/>
        </w:trPr>
        <w:tc>
          <w:tcPr>
            <w:tcW w:w="542" w:type="pct"/>
            <w:tcBorders>
              <w:top w:val="nil"/>
              <w:bottom w:val="nil"/>
            </w:tcBorders>
            <w:shd w:val="clear" w:color="auto" w:fill="C6D9F1" w:themeFill="text2" w:themeFillTint="33"/>
            <w:vAlign w:val="center"/>
          </w:tcPr>
          <w:p w:rsidR="007A792F" w:rsidRPr="00FF09C8" w:rsidRDefault="007A792F" w:rsidP="00155062">
            <w:pPr>
              <w:autoSpaceDE w:val="0"/>
              <w:autoSpaceDN w:val="0"/>
              <w:adjustRightInd w:val="0"/>
              <w:jc w:val="center"/>
              <w:rPr>
                <w:b/>
              </w:rPr>
            </w:pPr>
            <w:r>
              <w:rPr>
                <w:b/>
              </w:rPr>
              <w:t>PM</w:t>
            </w:r>
            <w:r w:rsidRPr="00DC7B30">
              <w:rPr>
                <w:b/>
                <w:vertAlign w:val="subscript"/>
              </w:rPr>
              <w:t>2.5</w:t>
            </w:r>
          </w:p>
        </w:tc>
        <w:tc>
          <w:tcPr>
            <w:tcW w:w="816" w:type="pct"/>
            <w:tcBorders>
              <w:top w:val="nil"/>
              <w:bottom w:val="nil"/>
            </w:tcBorders>
            <w:vAlign w:val="center"/>
          </w:tcPr>
          <w:p w:rsidR="007A792F" w:rsidRPr="00242FA9" w:rsidRDefault="007A792F" w:rsidP="00155062">
            <w:pPr>
              <w:autoSpaceDE w:val="0"/>
              <w:autoSpaceDN w:val="0"/>
              <w:adjustRightInd w:val="0"/>
              <w:spacing w:before="20" w:after="20"/>
              <w:jc w:val="center"/>
            </w:pPr>
            <w:r w:rsidRPr="00242FA9">
              <w:t>Annual</w:t>
            </w:r>
            <w:r w:rsidRPr="00242FA9">
              <w:br/>
              <w:t>24-Hour</w:t>
            </w:r>
          </w:p>
        </w:tc>
        <w:tc>
          <w:tcPr>
            <w:tcW w:w="1042" w:type="pct"/>
            <w:tcBorders>
              <w:top w:val="nil"/>
              <w:bottom w:val="nil"/>
            </w:tcBorders>
            <w:vAlign w:val="center"/>
          </w:tcPr>
          <w:p w:rsidR="007A792F" w:rsidRPr="00242FA9" w:rsidRDefault="007A792F" w:rsidP="00155062">
            <w:pPr>
              <w:autoSpaceDE w:val="0"/>
              <w:autoSpaceDN w:val="0"/>
              <w:adjustRightInd w:val="0"/>
              <w:spacing w:before="20" w:after="20"/>
              <w:jc w:val="center"/>
            </w:pPr>
            <w:r w:rsidRPr="00242FA9">
              <w:t>0.51</w:t>
            </w:r>
          </w:p>
          <w:p w:rsidR="007A792F" w:rsidRPr="00242FA9" w:rsidRDefault="007A792F" w:rsidP="00155062">
            <w:pPr>
              <w:autoSpaceDE w:val="0"/>
              <w:autoSpaceDN w:val="0"/>
              <w:adjustRightInd w:val="0"/>
              <w:spacing w:before="20" w:after="20"/>
              <w:jc w:val="center"/>
            </w:pPr>
            <w:r w:rsidRPr="00242FA9">
              <w:t>7.1</w:t>
            </w:r>
          </w:p>
        </w:tc>
        <w:tc>
          <w:tcPr>
            <w:tcW w:w="637" w:type="pct"/>
            <w:tcBorders>
              <w:top w:val="nil"/>
              <w:bottom w:val="nil"/>
            </w:tcBorders>
            <w:vAlign w:val="center"/>
          </w:tcPr>
          <w:p w:rsidR="007A792F" w:rsidRPr="00242FA9" w:rsidRDefault="007A792F" w:rsidP="00155062">
            <w:pPr>
              <w:autoSpaceDE w:val="0"/>
              <w:autoSpaceDN w:val="0"/>
              <w:adjustRightInd w:val="0"/>
              <w:spacing w:before="20" w:after="20"/>
              <w:jc w:val="center"/>
            </w:pPr>
            <w:r w:rsidRPr="00242FA9">
              <w:t>0.2</w:t>
            </w:r>
            <w:r w:rsidRPr="00242FA9">
              <w:br/>
              <w:t>1.2</w:t>
            </w:r>
          </w:p>
        </w:tc>
        <w:tc>
          <w:tcPr>
            <w:tcW w:w="907" w:type="pct"/>
            <w:tcBorders>
              <w:top w:val="nil"/>
              <w:bottom w:val="nil"/>
            </w:tcBorders>
          </w:tcPr>
          <w:p w:rsidR="007A792F" w:rsidRPr="00242FA9" w:rsidRDefault="007A792F" w:rsidP="00155062">
            <w:pPr>
              <w:autoSpaceDE w:val="0"/>
              <w:autoSpaceDN w:val="0"/>
              <w:adjustRightInd w:val="0"/>
              <w:spacing w:before="20" w:after="20"/>
              <w:jc w:val="center"/>
            </w:pPr>
            <w:r w:rsidRPr="00242FA9">
              <w:t>255%</w:t>
            </w:r>
          </w:p>
          <w:p w:rsidR="007A792F" w:rsidRPr="00242FA9" w:rsidRDefault="007A792F" w:rsidP="00155062">
            <w:pPr>
              <w:autoSpaceDE w:val="0"/>
              <w:autoSpaceDN w:val="0"/>
              <w:adjustRightInd w:val="0"/>
              <w:spacing w:before="20" w:after="20"/>
              <w:jc w:val="center"/>
            </w:pPr>
            <w:r w:rsidRPr="00242FA9">
              <w:t>592%</w:t>
            </w:r>
          </w:p>
        </w:tc>
        <w:tc>
          <w:tcPr>
            <w:tcW w:w="1056" w:type="pct"/>
            <w:tcBorders>
              <w:top w:val="nil"/>
              <w:bottom w:val="nil"/>
            </w:tcBorders>
            <w:vAlign w:val="center"/>
          </w:tcPr>
          <w:p w:rsidR="007A792F" w:rsidRPr="00242FA9" w:rsidRDefault="007A792F" w:rsidP="00155062">
            <w:pPr>
              <w:autoSpaceDE w:val="0"/>
              <w:autoSpaceDN w:val="0"/>
              <w:adjustRightInd w:val="0"/>
              <w:spacing w:before="20" w:after="20"/>
              <w:jc w:val="center"/>
              <w:rPr>
                <w:b/>
              </w:rPr>
            </w:pPr>
            <w:r w:rsidRPr="00242FA9">
              <w:rPr>
                <w:b/>
              </w:rPr>
              <w:t>Yes</w:t>
            </w:r>
            <w:r w:rsidRPr="00242FA9">
              <w:rPr>
                <w:b/>
              </w:rPr>
              <w:br/>
              <w:t>Yes</w:t>
            </w:r>
          </w:p>
        </w:tc>
      </w:tr>
      <w:tr w:rsidR="007A792F" w:rsidRPr="004A2248" w:rsidTr="007A792F">
        <w:trPr>
          <w:cantSplit/>
          <w:trHeight w:val="20"/>
        </w:trPr>
        <w:tc>
          <w:tcPr>
            <w:tcW w:w="542" w:type="pct"/>
            <w:vMerge w:val="restart"/>
            <w:tcBorders>
              <w:top w:val="nil"/>
            </w:tcBorders>
            <w:shd w:val="clear" w:color="auto" w:fill="C6D9F1" w:themeFill="text2" w:themeFillTint="33"/>
            <w:vAlign w:val="center"/>
          </w:tcPr>
          <w:p w:rsidR="007A792F" w:rsidRPr="00FF09C8" w:rsidRDefault="007A792F" w:rsidP="00155062">
            <w:pPr>
              <w:autoSpaceDE w:val="0"/>
              <w:autoSpaceDN w:val="0"/>
              <w:adjustRightInd w:val="0"/>
              <w:jc w:val="center"/>
              <w:rPr>
                <w:b/>
              </w:rPr>
            </w:pPr>
            <w:r>
              <w:rPr>
                <w:b/>
              </w:rPr>
              <w:t>PM</w:t>
            </w:r>
            <w:r w:rsidRPr="00DC7B30">
              <w:rPr>
                <w:b/>
                <w:vertAlign w:val="subscript"/>
              </w:rPr>
              <w:t>10</w:t>
            </w:r>
          </w:p>
        </w:tc>
        <w:tc>
          <w:tcPr>
            <w:tcW w:w="816" w:type="pct"/>
            <w:tcBorders>
              <w:top w:val="nil"/>
              <w:bottom w:val="nil"/>
            </w:tcBorders>
            <w:vAlign w:val="center"/>
          </w:tcPr>
          <w:p w:rsidR="007A792F" w:rsidRPr="00242FA9" w:rsidRDefault="007A792F" w:rsidP="00155062">
            <w:pPr>
              <w:autoSpaceDE w:val="0"/>
              <w:autoSpaceDN w:val="0"/>
              <w:adjustRightInd w:val="0"/>
              <w:spacing w:before="20" w:after="20"/>
              <w:jc w:val="center"/>
            </w:pPr>
            <w:r w:rsidRPr="00242FA9">
              <w:t>Annual</w:t>
            </w:r>
          </w:p>
        </w:tc>
        <w:tc>
          <w:tcPr>
            <w:tcW w:w="1042" w:type="pct"/>
            <w:tcBorders>
              <w:top w:val="nil"/>
              <w:bottom w:val="nil"/>
            </w:tcBorders>
            <w:vAlign w:val="center"/>
          </w:tcPr>
          <w:p w:rsidR="007A792F" w:rsidRPr="00242FA9" w:rsidRDefault="007A792F" w:rsidP="00155062">
            <w:pPr>
              <w:autoSpaceDE w:val="0"/>
              <w:autoSpaceDN w:val="0"/>
              <w:adjustRightInd w:val="0"/>
              <w:spacing w:before="20" w:after="20"/>
              <w:jc w:val="center"/>
            </w:pPr>
            <w:r w:rsidRPr="00242FA9">
              <w:t>1.7</w:t>
            </w:r>
          </w:p>
        </w:tc>
        <w:tc>
          <w:tcPr>
            <w:tcW w:w="637" w:type="pct"/>
            <w:tcBorders>
              <w:top w:val="nil"/>
              <w:bottom w:val="nil"/>
            </w:tcBorders>
            <w:vAlign w:val="center"/>
          </w:tcPr>
          <w:p w:rsidR="007A792F" w:rsidRPr="00242FA9" w:rsidRDefault="007A792F" w:rsidP="00155062">
            <w:pPr>
              <w:autoSpaceDE w:val="0"/>
              <w:autoSpaceDN w:val="0"/>
              <w:adjustRightInd w:val="0"/>
              <w:spacing w:before="20" w:after="20"/>
              <w:jc w:val="center"/>
            </w:pPr>
            <w:r w:rsidRPr="00242FA9">
              <w:t>1</w:t>
            </w:r>
          </w:p>
        </w:tc>
        <w:tc>
          <w:tcPr>
            <w:tcW w:w="907" w:type="pct"/>
            <w:tcBorders>
              <w:top w:val="nil"/>
              <w:bottom w:val="nil"/>
            </w:tcBorders>
          </w:tcPr>
          <w:p w:rsidR="007A792F" w:rsidRPr="00242FA9" w:rsidRDefault="007A792F" w:rsidP="00155062">
            <w:pPr>
              <w:autoSpaceDE w:val="0"/>
              <w:autoSpaceDN w:val="0"/>
              <w:adjustRightInd w:val="0"/>
              <w:spacing w:before="20" w:after="20"/>
              <w:jc w:val="center"/>
            </w:pPr>
            <w:r w:rsidRPr="00242FA9">
              <w:t>170%</w:t>
            </w:r>
          </w:p>
        </w:tc>
        <w:tc>
          <w:tcPr>
            <w:tcW w:w="1056" w:type="pct"/>
            <w:tcBorders>
              <w:top w:val="nil"/>
              <w:bottom w:val="nil"/>
            </w:tcBorders>
            <w:vAlign w:val="center"/>
          </w:tcPr>
          <w:p w:rsidR="007A792F" w:rsidRPr="00242FA9" w:rsidRDefault="007A792F" w:rsidP="00155062">
            <w:pPr>
              <w:autoSpaceDE w:val="0"/>
              <w:autoSpaceDN w:val="0"/>
              <w:adjustRightInd w:val="0"/>
              <w:spacing w:before="20" w:after="20"/>
              <w:jc w:val="center"/>
              <w:rPr>
                <w:b/>
              </w:rPr>
            </w:pPr>
            <w:r w:rsidRPr="00242FA9">
              <w:rPr>
                <w:b/>
              </w:rPr>
              <w:t>Yes</w:t>
            </w:r>
          </w:p>
        </w:tc>
      </w:tr>
      <w:tr w:rsidR="007A792F" w:rsidRPr="004A2248" w:rsidTr="007A792F">
        <w:trPr>
          <w:cantSplit/>
          <w:trHeight w:val="20"/>
        </w:trPr>
        <w:tc>
          <w:tcPr>
            <w:tcW w:w="542" w:type="pct"/>
            <w:vMerge/>
            <w:shd w:val="clear" w:color="auto" w:fill="C6D9F1" w:themeFill="text2" w:themeFillTint="33"/>
          </w:tcPr>
          <w:p w:rsidR="007A792F" w:rsidRPr="00FF09C8" w:rsidRDefault="007A792F" w:rsidP="00155062">
            <w:pPr>
              <w:autoSpaceDE w:val="0"/>
              <w:autoSpaceDN w:val="0"/>
              <w:adjustRightInd w:val="0"/>
              <w:jc w:val="center"/>
              <w:rPr>
                <w:b/>
              </w:rPr>
            </w:pPr>
          </w:p>
        </w:tc>
        <w:tc>
          <w:tcPr>
            <w:tcW w:w="816" w:type="pct"/>
            <w:tcBorders>
              <w:top w:val="nil"/>
            </w:tcBorders>
            <w:vAlign w:val="center"/>
          </w:tcPr>
          <w:p w:rsidR="007A792F" w:rsidRPr="00242FA9" w:rsidRDefault="007A792F" w:rsidP="00155062">
            <w:pPr>
              <w:autoSpaceDE w:val="0"/>
              <w:autoSpaceDN w:val="0"/>
              <w:adjustRightInd w:val="0"/>
              <w:spacing w:before="20" w:after="20"/>
              <w:jc w:val="center"/>
            </w:pPr>
            <w:r w:rsidRPr="00242FA9">
              <w:t>24-Hour</w:t>
            </w:r>
          </w:p>
        </w:tc>
        <w:tc>
          <w:tcPr>
            <w:tcW w:w="1042" w:type="pct"/>
            <w:tcBorders>
              <w:top w:val="nil"/>
            </w:tcBorders>
            <w:vAlign w:val="center"/>
          </w:tcPr>
          <w:p w:rsidR="007A792F" w:rsidRPr="00242FA9" w:rsidRDefault="007A792F" w:rsidP="00155062">
            <w:pPr>
              <w:autoSpaceDE w:val="0"/>
              <w:autoSpaceDN w:val="0"/>
              <w:adjustRightInd w:val="0"/>
              <w:spacing w:before="20" w:after="20"/>
              <w:jc w:val="center"/>
            </w:pPr>
            <w:r w:rsidRPr="00242FA9">
              <w:t>13.7</w:t>
            </w:r>
          </w:p>
        </w:tc>
        <w:tc>
          <w:tcPr>
            <w:tcW w:w="637" w:type="pct"/>
            <w:tcBorders>
              <w:top w:val="nil"/>
            </w:tcBorders>
            <w:vAlign w:val="center"/>
          </w:tcPr>
          <w:p w:rsidR="007A792F" w:rsidRPr="00242FA9" w:rsidRDefault="007A792F" w:rsidP="00155062">
            <w:pPr>
              <w:autoSpaceDE w:val="0"/>
              <w:autoSpaceDN w:val="0"/>
              <w:adjustRightInd w:val="0"/>
              <w:spacing w:before="20" w:after="20"/>
              <w:jc w:val="center"/>
            </w:pPr>
            <w:r w:rsidRPr="00242FA9">
              <w:t>5</w:t>
            </w:r>
          </w:p>
        </w:tc>
        <w:tc>
          <w:tcPr>
            <w:tcW w:w="907" w:type="pct"/>
            <w:tcBorders>
              <w:top w:val="nil"/>
            </w:tcBorders>
          </w:tcPr>
          <w:p w:rsidR="007A792F" w:rsidRPr="00242FA9" w:rsidRDefault="007A792F" w:rsidP="00155062">
            <w:pPr>
              <w:autoSpaceDE w:val="0"/>
              <w:autoSpaceDN w:val="0"/>
              <w:adjustRightInd w:val="0"/>
              <w:spacing w:before="20" w:after="20"/>
              <w:jc w:val="center"/>
            </w:pPr>
            <w:r w:rsidRPr="00242FA9">
              <w:t>274%</w:t>
            </w:r>
          </w:p>
        </w:tc>
        <w:tc>
          <w:tcPr>
            <w:tcW w:w="1056" w:type="pct"/>
            <w:tcBorders>
              <w:top w:val="nil"/>
            </w:tcBorders>
            <w:vAlign w:val="center"/>
          </w:tcPr>
          <w:p w:rsidR="007A792F" w:rsidRPr="00242FA9" w:rsidRDefault="007A792F" w:rsidP="00155062">
            <w:pPr>
              <w:autoSpaceDE w:val="0"/>
              <w:autoSpaceDN w:val="0"/>
              <w:adjustRightInd w:val="0"/>
              <w:spacing w:before="20" w:after="20"/>
              <w:jc w:val="center"/>
              <w:rPr>
                <w:b/>
              </w:rPr>
            </w:pPr>
            <w:r w:rsidRPr="00242FA9">
              <w:rPr>
                <w:b/>
              </w:rPr>
              <w:t>Yes</w:t>
            </w:r>
          </w:p>
        </w:tc>
      </w:tr>
    </w:tbl>
    <w:p w:rsidR="007A792F" w:rsidRPr="002A247A" w:rsidRDefault="007A792F" w:rsidP="002A247A">
      <w:pPr>
        <w:pStyle w:val="ListParagraph"/>
        <w:widowControl w:val="0"/>
        <w:numPr>
          <w:ilvl w:val="2"/>
          <w:numId w:val="15"/>
        </w:numPr>
        <w:spacing w:before="120" w:after="120"/>
        <w:ind w:left="720" w:hanging="720"/>
        <w:contextualSpacing w:val="0"/>
        <w:jc w:val="both"/>
        <w:rPr>
          <w:sz w:val="22"/>
          <w:szCs w:val="22"/>
          <w:u w:val="single"/>
        </w:rPr>
      </w:pPr>
      <w:r w:rsidRPr="002A247A">
        <w:rPr>
          <w:sz w:val="22"/>
          <w:szCs w:val="22"/>
          <w:u w:val="single"/>
        </w:rPr>
        <w:t>Cumulative Dispersion Modeling</w:t>
      </w:r>
    </w:p>
    <w:p w:rsidR="007A792F" w:rsidRDefault="007A792F" w:rsidP="002A247A">
      <w:pPr>
        <w:widowControl w:val="0"/>
        <w:spacing w:after="120"/>
        <w:rPr>
          <w:sz w:val="22"/>
          <w:szCs w:val="22"/>
        </w:rPr>
      </w:pPr>
      <w:r>
        <w:rPr>
          <w:sz w:val="22"/>
          <w:szCs w:val="22"/>
        </w:rPr>
        <w:t>Cumulative source modeling that evaluates whether the combined air quality impacts from all nearby significant sources will comply with the NAAQS and increment for each pollutant is performed for each pollutant that exceeds the SIL.  In order to assess cumulative impacts, the potential emission from the most significant nearby sources are added to the modeling platform developed for the SIL analysis.  A monitored background concentration intended to represent all non-modeled anthropogenic and natural pollutant sources is added to the results which are then compared to the NAAQS and increment.</w:t>
      </w:r>
    </w:p>
    <w:p w:rsidR="007A792F" w:rsidRDefault="007A792F" w:rsidP="002A247A">
      <w:pPr>
        <w:pStyle w:val="ListParagraph"/>
        <w:widowControl w:val="0"/>
        <w:numPr>
          <w:ilvl w:val="3"/>
          <w:numId w:val="15"/>
        </w:numPr>
        <w:spacing w:after="120"/>
        <w:ind w:left="720" w:hanging="720"/>
        <w:jc w:val="both"/>
        <w:rPr>
          <w:i/>
          <w:sz w:val="22"/>
          <w:szCs w:val="22"/>
        </w:rPr>
      </w:pPr>
      <w:r>
        <w:rPr>
          <w:i/>
          <w:sz w:val="22"/>
          <w:szCs w:val="22"/>
        </w:rPr>
        <w:t>Significant Impact Area</w:t>
      </w:r>
    </w:p>
    <w:p w:rsidR="007A792F" w:rsidRPr="009C36D5" w:rsidRDefault="007A792F" w:rsidP="002A247A">
      <w:pPr>
        <w:widowControl w:val="0"/>
        <w:spacing w:after="120"/>
        <w:rPr>
          <w:sz w:val="22"/>
          <w:szCs w:val="22"/>
        </w:rPr>
      </w:pPr>
      <w:r>
        <w:rPr>
          <w:sz w:val="22"/>
          <w:szCs w:val="22"/>
        </w:rPr>
        <w:t>Receptor placement and the choice of which sources to explicitly model are based on the establishment of a significant impact area (SIA).  The SIA is the area in which the proposed project has the potential to significantly contribute to a NAAQS exceedance, i.e. a circular area with a radius equal to the distance from the source to the most distant receptor with a modeled SIL violation.  The radius of the SIA for the SIL analysis for this project was estimated to be 2.5 km.  The analysis evaluated receptors within the SIA.</w:t>
      </w:r>
    </w:p>
    <w:p w:rsidR="007A792F" w:rsidRDefault="007A792F" w:rsidP="002A247A">
      <w:pPr>
        <w:pStyle w:val="ListParagraph"/>
        <w:widowControl w:val="0"/>
        <w:numPr>
          <w:ilvl w:val="3"/>
          <w:numId w:val="15"/>
        </w:numPr>
        <w:spacing w:after="120"/>
        <w:ind w:left="720" w:hanging="720"/>
        <w:jc w:val="both"/>
        <w:rPr>
          <w:i/>
          <w:sz w:val="22"/>
          <w:szCs w:val="22"/>
        </w:rPr>
      </w:pPr>
      <w:r>
        <w:rPr>
          <w:i/>
          <w:sz w:val="22"/>
          <w:szCs w:val="22"/>
        </w:rPr>
        <w:t>Background Source Choices</w:t>
      </w:r>
    </w:p>
    <w:p w:rsidR="007A792F" w:rsidRDefault="007A792F" w:rsidP="002A247A">
      <w:pPr>
        <w:widowControl w:val="0"/>
        <w:spacing w:after="120"/>
        <w:rPr>
          <w:sz w:val="22"/>
          <w:szCs w:val="22"/>
        </w:rPr>
      </w:pPr>
      <w:r>
        <w:rPr>
          <w:sz w:val="22"/>
          <w:szCs w:val="22"/>
        </w:rPr>
        <w:t xml:space="preserve">Background source emission data were obtained from the DEP ARMS database, DEP permit files, and recent PSD permit reviews.  EPA recommends that the list of explicitly modeled sources should remain small and that professional judgment should be used in the decision process.  </w:t>
      </w:r>
      <w:r w:rsidRPr="00EC6264">
        <w:rPr>
          <w:sz w:val="22"/>
          <w:szCs w:val="22"/>
        </w:rPr>
        <w:t xml:space="preserve">In order to evaluate sources in the screening area that could significantly interact with the </w:t>
      </w:r>
      <w:r>
        <w:rPr>
          <w:sz w:val="22"/>
          <w:szCs w:val="22"/>
        </w:rPr>
        <w:t>p</w:t>
      </w:r>
      <w:r w:rsidRPr="00EC6264">
        <w:rPr>
          <w:sz w:val="22"/>
          <w:szCs w:val="22"/>
        </w:rPr>
        <w:t>roject</w:t>
      </w:r>
      <w:r>
        <w:rPr>
          <w:sz w:val="22"/>
          <w:szCs w:val="22"/>
        </w:rPr>
        <w:t xml:space="preserve">, the applicant </w:t>
      </w:r>
      <w:r w:rsidRPr="00EC6264">
        <w:rPr>
          <w:sz w:val="22"/>
          <w:szCs w:val="22"/>
        </w:rPr>
        <w:t>evaluated</w:t>
      </w:r>
      <w:r>
        <w:rPr>
          <w:sz w:val="22"/>
          <w:szCs w:val="22"/>
        </w:rPr>
        <w:t xml:space="preserve"> facilities within 50 km of the project site</w:t>
      </w:r>
      <w:r w:rsidRPr="00EC6264">
        <w:rPr>
          <w:sz w:val="22"/>
          <w:szCs w:val="22"/>
        </w:rPr>
        <w:t xml:space="preserve"> using the North Carolina screening technique (also known as the “20D approach”). Based on this technique, facilities whose annual emissions (i.e., TPY) are less than the threshold quantity, Q, are eliminated from the modeling analysis since they are not likely to significantly interact with the </w:t>
      </w:r>
      <w:r>
        <w:rPr>
          <w:sz w:val="22"/>
          <w:szCs w:val="22"/>
        </w:rPr>
        <w:t>p</w:t>
      </w:r>
      <w:r w:rsidRPr="00EC6264">
        <w:rPr>
          <w:sz w:val="22"/>
          <w:szCs w:val="22"/>
        </w:rPr>
        <w:t>roject. Q is equal to 20 × (D - SIA), where D is the distance in km from the facility to the Project site. Based on the results of the facility screening, no additional background sources were identified for inclusion in the NAAQS and PSD Class II increment analyses.</w:t>
      </w:r>
    </w:p>
    <w:p w:rsidR="007A792F" w:rsidRDefault="007A792F" w:rsidP="002A247A">
      <w:pPr>
        <w:pStyle w:val="ListParagraph"/>
        <w:widowControl w:val="0"/>
        <w:numPr>
          <w:ilvl w:val="3"/>
          <w:numId w:val="15"/>
        </w:numPr>
        <w:spacing w:after="120"/>
        <w:ind w:left="720" w:hanging="720"/>
        <w:jc w:val="both"/>
        <w:rPr>
          <w:i/>
          <w:sz w:val="22"/>
          <w:szCs w:val="22"/>
        </w:rPr>
      </w:pPr>
      <w:r>
        <w:rPr>
          <w:i/>
          <w:sz w:val="22"/>
          <w:szCs w:val="22"/>
        </w:rPr>
        <w:t>Background Development and Monitors</w:t>
      </w:r>
    </w:p>
    <w:p w:rsidR="007A792F" w:rsidRPr="009C36D5" w:rsidRDefault="007A792F" w:rsidP="00EC0CED">
      <w:pPr>
        <w:widowControl w:val="0"/>
        <w:spacing w:after="120"/>
        <w:rPr>
          <w:sz w:val="22"/>
          <w:szCs w:val="22"/>
        </w:rPr>
      </w:pPr>
      <w:r>
        <w:rPr>
          <w:sz w:val="22"/>
          <w:szCs w:val="22"/>
        </w:rPr>
        <w:t>The background concentration is based on monitoring data and is designed to take into account all existing natural or anthropogenic sources that are not explicitly modeled.  There are a variety of ways to develop a background concentration that differ in complexity and conservatism.  For this project, the least complex, most conservative method was utilized.  The background concentrations added to the model results were simply the design values for the nearest PM</w:t>
      </w:r>
      <w:r w:rsidRPr="00DC7B30">
        <w:rPr>
          <w:sz w:val="22"/>
          <w:szCs w:val="22"/>
          <w:vertAlign w:val="subscript"/>
        </w:rPr>
        <w:t>10</w:t>
      </w:r>
      <w:r>
        <w:rPr>
          <w:sz w:val="22"/>
          <w:szCs w:val="22"/>
        </w:rPr>
        <w:t xml:space="preserve"> and PM</w:t>
      </w:r>
      <w:r w:rsidRPr="00DC7B30">
        <w:rPr>
          <w:sz w:val="22"/>
          <w:szCs w:val="22"/>
          <w:vertAlign w:val="subscript"/>
        </w:rPr>
        <w:t>2.5</w:t>
      </w:r>
      <w:r>
        <w:rPr>
          <w:sz w:val="22"/>
          <w:szCs w:val="22"/>
        </w:rPr>
        <w:t xml:space="preserve"> monitor (see </w:t>
      </w:r>
      <w:r w:rsidRPr="002A6823">
        <w:rPr>
          <w:b/>
          <w:sz w:val="22"/>
          <w:szCs w:val="22"/>
        </w:rPr>
        <w:fldChar w:fldCharType="begin"/>
      </w:r>
      <w:r w:rsidRPr="002A6823">
        <w:rPr>
          <w:b/>
          <w:sz w:val="22"/>
          <w:szCs w:val="22"/>
        </w:rPr>
        <w:instrText xml:space="preserve"> REF _Ref485728920 \h  \* MERGEFORMAT </w:instrText>
      </w:r>
      <w:r w:rsidRPr="002A6823">
        <w:rPr>
          <w:b/>
          <w:sz w:val="22"/>
          <w:szCs w:val="22"/>
        </w:rPr>
      </w:r>
      <w:r w:rsidRPr="002A6823">
        <w:rPr>
          <w:b/>
          <w:sz w:val="22"/>
          <w:szCs w:val="22"/>
        </w:rPr>
        <w:fldChar w:fldCharType="separate"/>
      </w:r>
      <w:r w:rsidR="005A4C55" w:rsidRPr="005A4C55">
        <w:rPr>
          <w:b/>
          <w:sz w:val="22"/>
          <w:szCs w:val="22"/>
        </w:rPr>
        <w:t xml:space="preserve">Table </w:t>
      </w:r>
      <w:r w:rsidR="005A4C55" w:rsidRPr="005A4C55">
        <w:rPr>
          <w:b/>
          <w:noProof/>
          <w:sz w:val="22"/>
          <w:szCs w:val="22"/>
        </w:rPr>
        <w:t>6</w:t>
      </w:r>
      <w:r w:rsidRPr="002A6823">
        <w:rPr>
          <w:b/>
          <w:sz w:val="22"/>
          <w:szCs w:val="22"/>
        </w:rPr>
        <w:fldChar w:fldCharType="end"/>
      </w:r>
      <w:r>
        <w:rPr>
          <w:sz w:val="22"/>
          <w:szCs w:val="22"/>
        </w:rPr>
        <w:t>).</w:t>
      </w:r>
    </w:p>
    <w:p w:rsidR="007A792F" w:rsidRDefault="007A792F" w:rsidP="002A247A">
      <w:pPr>
        <w:pStyle w:val="ListParagraph"/>
        <w:widowControl w:val="0"/>
        <w:numPr>
          <w:ilvl w:val="3"/>
          <w:numId w:val="15"/>
        </w:numPr>
        <w:spacing w:after="120"/>
        <w:ind w:left="720" w:hanging="720"/>
        <w:jc w:val="both"/>
        <w:rPr>
          <w:i/>
          <w:sz w:val="22"/>
          <w:szCs w:val="22"/>
        </w:rPr>
      </w:pPr>
      <w:r>
        <w:rPr>
          <w:i/>
          <w:sz w:val="22"/>
          <w:szCs w:val="22"/>
        </w:rPr>
        <w:t>Results</w:t>
      </w:r>
    </w:p>
    <w:p w:rsidR="007A792F" w:rsidRDefault="007A792F" w:rsidP="00EC0CED">
      <w:pPr>
        <w:widowControl w:val="0"/>
        <w:spacing w:after="120"/>
        <w:rPr>
          <w:sz w:val="22"/>
          <w:szCs w:val="22"/>
        </w:rPr>
      </w:pPr>
      <w:r>
        <w:rPr>
          <w:sz w:val="22"/>
          <w:szCs w:val="22"/>
        </w:rPr>
        <w:t xml:space="preserve">The results of the NAAQS analysis that are summarized in </w:t>
      </w:r>
      <w:r w:rsidRPr="002A6823">
        <w:rPr>
          <w:b/>
          <w:sz w:val="22"/>
          <w:szCs w:val="22"/>
        </w:rPr>
        <w:fldChar w:fldCharType="begin"/>
      </w:r>
      <w:r w:rsidRPr="002A6823">
        <w:rPr>
          <w:b/>
          <w:sz w:val="22"/>
          <w:szCs w:val="22"/>
        </w:rPr>
        <w:instrText xml:space="preserve"> REF _Ref485729114 \h  \* MERGEFORMAT </w:instrText>
      </w:r>
      <w:r w:rsidRPr="002A6823">
        <w:rPr>
          <w:b/>
          <w:sz w:val="22"/>
          <w:szCs w:val="22"/>
        </w:rPr>
      </w:r>
      <w:r w:rsidRPr="002A6823">
        <w:rPr>
          <w:b/>
          <w:sz w:val="22"/>
          <w:szCs w:val="22"/>
        </w:rPr>
        <w:fldChar w:fldCharType="separate"/>
      </w:r>
      <w:r w:rsidR="005A4C55" w:rsidRPr="005A4C55">
        <w:rPr>
          <w:b/>
          <w:sz w:val="22"/>
          <w:szCs w:val="22"/>
        </w:rPr>
        <w:t xml:space="preserve">Table </w:t>
      </w:r>
      <w:r w:rsidR="005A4C55" w:rsidRPr="005A4C55">
        <w:rPr>
          <w:b/>
          <w:noProof/>
          <w:sz w:val="22"/>
          <w:szCs w:val="22"/>
        </w:rPr>
        <w:t>10</w:t>
      </w:r>
      <w:r w:rsidRPr="002A6823">
        <w:rPr>
          <w:b/>
          <w:sz w:val="22"/>
          <w:szCs w:val="22"/>
        </w:rPr>
        <w:fldChar w:fldCharType="end"/>
      </w:r>
      <w:r w:rsidRPr="002A6823">
        <w:rPr>
          <w:b/>
          <w:sz w:val="22"/>
          <w:szCs w:val="22"/>
        </w:rPr>
        <w:t xml:space="preserve"> </w:t>
      </w:r>
      <w:r>
        <w:rPr>
          <w:sz w:val="22"/>
          <w:szCs w:val="22"/>
        </w:rPr>
        <w:t>indicate that the project is not expected to cause or significantly contribute to an exceedance of the NAAQS.</w:t>
      </w:r>
    </w:p>
    <w:p w:rsidR="007A792F" w:rsidRDefault="007A792F" w:rsidP="002A247A">
      <w:pPr>
        <w:pStyle w:val="Caption"/>
        <w:spacing w:before="120"/>
        <w:jc w:val="center"/>
      </w:pPr>
      <w:bookmarkStart w:id="28" w:name="_Ref485729114"/>
      <w:r>
        <w:lastRenderedPageBreak/>
        <w:t xml:space="preserve">Table </w:t>
      </w:r>
      <w:fldSimple w:instr=" SEQ Table \* ARABIC ">
        <w:r w:rsidR="00CF4EEA">
          <w:rPr>
            <w:noProof/>
          </w:rPr>
          <w:t>10</w:t>
        </w:r>
      </w:fldSimple>
      <w:bookmarkEnd w:id="28"/>
      <w:r>
        <w:t xml:space="preserve"> - </w:t>
      </w:r>
      <w:r w:rsidRPr="002823C0">
        <w:t>CUMULATIVE MODELING RESULTS FOR THE PROJECT COMPARED TO THE NAAQS.</w:t>
      </w:r>
    </w:p>
    <w:tbl>
      <w:tblPr>
        <w:tblStyle w:val="TableGrid"/>
        <w:tblW w:w="4168" w:type="pct"/>
        <w:jc w:val="center"/>
        <w:tblBorders>
          <w:insideH w:val="none" w:sz="0" w:space="0" w:color="auto"/>
          <w:insideV w:val="none" w:sz="0" w:space="0" w:color="auto"/>
        </w:tblBorders>
        <w:tblLook w:val="04A0" w:firstRow="1" w:lastRow="0" w:firstColumn="1" w:lastColumn="0" w:noHBand="0" w:noVBand="1"/>
      </w:tblPr>
      <w:tblGrid>
        <w:gridCol w:w="1972"/>
        <w:gridCol w:w="1080"/>
        <w:gridCol w:w="1349"/>
        <w:gridCol w:w="1455"/>
        <w:gridCol w:w="920"/>
        <w:gridCol w:w="1498"/>
      </w:tblGrid>
      <w:tr w:rsidR="00B144E8" w:rsidTr="002B022D">
        <w:trPr>
          <w:jc w:val="center"/>
        </w:trPr>
        <w:tc>
          <w:tcPr>
            <w:tcW w:w="1192" w:type="pct"/>
            <w:vMerge w:val="restart"/>
            <w:shd w:val="clear" w:color="auto" w:fill="C6D9F1" w:themeFill="text2" w:themeFillTint="33"/>
            <w:vAlign w:val="center"/>
          </w:tcPr>
          <w:p w:rsidR="00B144E8" w:rsidRPr="00D61F37" w:rsidRDefault="00B144E8" w:rsidP="002A247A">
            <w:pPr>
              <w:jc w:val="center"/>
              <w:rPr>
                <w:b/>
              </w:rPr>
            </w:pPr>
            <w:r>
              <w:rPr>
                <w:b/>
              </w:rPr>
              <w:t>Pollutant and Averaging Time</w:t>
            </w:r>
          </w:p>
        </w:tc>
        <w:tc>
          <w:tcPr>
            <w:tcW w:w="2347" w:type="pct"/>
            <w:gridSpan w:val="3"/>
            <w:shd w:val="clear" w:color="auto" w:fill="C6D9F1" w:themeFill="text2" w:themeFillTint="33"/>
            <w:vAlign w:val="center"/>
          </w:tcPr>
          <w:p w:rsidR="00B144E8" w:rsidRPr="00D61F37" w:rsidRDefault="00B144E8" w:rsidP="002A247A">
            <w:pPr>
              <w:jc w:val="center"/>
              <w:rPr>
                <w:b/>
              </w:rPr>
            </w:pPr>
            <w:r w:rsidRPr="00D61F37">
              <w:rPr>
                <w:b/>
              </w:rPr>
              <w:t>Maximum Concentration (μg/m</w:t>
            </w:r>
            <w:r w:rsidRPr="00D61F37">
              <w:rPr>
                <w:b/>
                <w:vertAlign w:val="superscript"/>
              </w:rPr>
              <w:t>3</w:t>
            </w:r>
            <w:r w:rsidRPr="00D61F37">
              <w:rPr>
                <w:b/>
              </w:rPr>
              <w:t>)</w:t>
            </w:r>
          </w:p>
        </w:tc>
        <w:tc>
          <w:tcPr>
            <w:tcW w:w="556" w:type="pct"/>
            <w:vMerge w:val="restart"/>
            <w:shd w:val="clear" w:color="auto" w:fill="C6D9F1" w:themeFill="text2" w:themeFillTint="33"/>
            <w:vAlign w:val="center"/>
          </w:tcPr>
          <w:p w:rsidR="00B144E8" w:rsidRPr="00D61F37" w:rsidRDefault="00B144E8" w:rsidP="002A247A">
            <w:pPr>
              <w:jc w:val="center"/>
              <w:rPr>
                <w:b/>
              </w:rPr>
            </w:pPr>
            <w:r>
              <w:rPr>
                <w:b/>
              </w:rPr>
              <w:t>NAAQS (µg/m</w:t>
            </w:r>
            <w:r w:rsidRPr="00DC7B30">
              <w:rPr>
                <w:b/>
                <w:vertAlign w:val="superscript"/>
              </w:rPr>
              <w:t>3</w:t>
            </w:r>
            <w:r>
              <w:rPr>
                <w:b/>
              </w:rPr>
              <w:t>)</w:t>
            </w:r>
          </w:p>
        </w:tc>
        <w:tc>
          <w:tcPr>
            <w:tcW w:w="905" w:type="pct"/>
            <w:vMerge w:val="restart"/>
            <w:shd w:val="clear" w:color="auto" w:fill="C6D9F1" w:themeFill="text2" w:themeFillTint="33"/>
            <w:vAlign w:val="center"/>
          </w:tcPr>
          <w:p w:rsidR="00B144E8" w:rsidRPr="00D61F37" w:rsidRDefault="00B144E8" w:rsidP="002A247A">
            <w:pPr>
              <w:jc w:val="center"/>
              <w:rPr>
                <w:b/>
              </w:rPr>
            </w:pPr>
            <w:r w:rsidRPr="00D61F37">
              <w:rPr>
                <w:b/>
              </w:rPr>
              <w:t>Percent of NAAQS</w:t>
            </w:r>
          </w:p>
        </w:tc>
      </w:tr>
      <w:tr w:rsidR="00B144E8" w:rsidTr="002B022D">
        <w:trPr>
          <w:trHeight w:val="270"/>
          <w:jc w:val="center"/>
        </w:trPr>
        <w:tc>
          <w:tcPr>
            <w:tcW w:w="1192" w:type="pct"/>
            <w:vMerge/>
          </w:tcPr>
          <w:p w:rsidR="00B144E8" w:rsidRPr="00D61F37" w:rsidRDefault="00B144E8" w:rsidP="002A247A"/>
        </w:tc>
        <w:tc>
          <w:tcPr>
            <w:tcW w:w="653" w:type="pct"/>
            <w:shd w:val="clear" w:color="auto" w:fill="C6D9F1" w:themeFill="text2" w:themeFillTint="33"/>
          </w:tcPr>
          <w:p w:rsidR="00B144E8" w:rsidRPr="00D61F37" w:rsidRDefault="00B144E8" w:rsidP="002A247A">
            <w:pPr>
              <w:jc w:val="center"/>
              <w:rPr>
                <w:b/>
              </w:rPr>
            </w:pPr>
            <w:r w:rsidRPr="00D61F37">
              <w:rPr>
                <w:b/>
              </w:rPr>
              <w:t>Sources</w:t>
            </w:r>
          </w:p>
        </w:tc>
        <w:tc>
          <w:tcPr>
            <w:tcW w:w="815" w:type="pct"/>
            <w:shd w:val="clear" w:color="auto" w:fill="C6D9F1" w:themeFill="text2" w:themeFillTint="33"/>
          </w:tcPr>
          <w:p w:rsidR="00B144E8" w:rsidRPr="00D61F37" w:rsidRDefault="00B144E8" w:rsidP="002A247A">
            <w:pPr>
              <w:jc w:val="center"/>
              <w:rPr>
                <w:b/>
              </w:rPr>
            </w:pPr>
            <w:r w:rsidRPr="00D61F37">
              <w:rPr>
                <w:b/>
              </w:rPr>
              <w:t>Background</w:t>
            </w:r>
          </w:p>
        </w:tc>
        <w:tc>
          <w:tcPr>
            <w:tcW w:w="878" w:type="pct"/>
            <w:shd w:val="clear" w:color="auto" w:fill="C6D9F1" w:themeFill="text2" w:themeFillTint="33"/>
          </w:tcPr>
          <w:p w:rsidR="00B144E8" w:rsidRPr="00D61F37" w:rsidRDefault="00B144E8" w:rsidP="002A247A">
            <w:pPr>
              <w:jc w:val="center"/>
              <w:rPr>
                <w:b/>
              </w:rPr>
            </w:pPr>
            <w:r w:rsidRPr="00D61F37">
              <w:rPr>
                <w:b/>
              </w:rPr>
              <w:t>Total</w:t>
            </w:r>
          </w:p>
        </w:tc>
        <w:tc>
          <w:tcPr>
            <w:tcW w:w="556" w:type="pct"/>
            <w:vMerge/>
          </w:tcPr>
          <w:p w:rsidR="00B144E8" w:rsidRPr="00D61F37" w:rsidRDefault="00B144E8" w:rsidP="002A247A"/>
        </w:tc>
        <w:tc>
          <w:tcPr>
            <w:tcW w:w="905" w:type="pct"/>
            <w:vMerge/>
          </w:tcPr>
          <w:p w:rsidR="00B144E8" w:rsidRPr="00D61F37" w:rsidRDefault="00B144E8" w:rsidP="002A247A"/>
        </w:tc>
      </w:tr>
      <w:tr w:rsidR="00B144E8" w:rsidTr="002B022D">
        <w:trPr>
          <w:jc w:val="center"/>
        </w:trPr>
        <w:tc>
          <w:tcPr>
            <w:tcW w:w="1192" w:type="pct"/>
          </w:tcPr>
          <w:p w:rsidR="00B144E8" w:rsidRPr="00D61F37" w:rsidRDefault="00B144E8" w:rsidP="002A247A">
            <w:pPr>
              <w:jc w:val="center"/>
            </w:pPr>
            <w:r>
              <w:t>PM</w:t>
            </w:r>
            <w:r w:rsidRPr="00DC7B30">
              <w:rPr>
                <w:vertAlign w:val="subscript"/>
              </w:rPr>
              <w:t>2.5</w:t>
            </w:r>
            <w:r>
              <w:t xml:space="preserve"> Annual</w:t>
            </w:r>
          </w:p>
        </w:tc>
        <w:tc>
          <w:tcPr>
            <w:tcW w:w="653" w:type="pct"/>
            <w:vAlign w:val="center"/>
          </w:tcPr>
          <w:p w:rsidR="00B144E8" w:rsidRPr="0080126E" w:rsidRDefault="00B144E8" w:rsidP="002A247A">
            <w:pPr>
              <w:jc w:val="center"/>
            </w:pPr>
            <w:r>
              <w:t>0.5</w:t>
            </w:r>
          </w:p>
        </w:tc>
        <w:tc>
          <w:tcPr>
            <w:tcW w:w="815" w:type="pct"/>
            <w:vAlign w:val="center"/>
          </w:tcPr>
          <w:p w:rsidR="00B144E8" w:rsidRPr="00D61F37" w:rsidRDefault="00B144E8" w:rsidP="002A247A">
            <w:pPr>
              <w:jc w:val="center"/>
            </w:pPr>
            <w:r>
              <w:t>6.5</w:t>
            </w:r>
          </w:p>
        </w:tc>
        <w:tc>
          <w:tcPr>
            <w:tcW w:w="878" w:type="pct"/>
            <w:vAlign w:val="center"/>
          </w:tcPr>
          <w:p w:rsidR="00B144E8" w:rsidRPr="00D61F37" w:rsidRDefault="00B144E8" w:rsidP="002A247A">
            <w:pPr>
              <w:jc w:val="center"/>
            </w:pPr>
            <w:r>
              <w:t>7.0</w:t>
            </w:r>
          </w:p>
        </w:tc>
        <w:tc>
          <w:tcPr>
            <w:tcW w:w="556" w:type="pct"/>
            <w:vAlign w:val="center"/>
          </w:tcPr>
          <w:p w:rsidR="00B144E8" w:rsidRPr="00D61F37" w:rsidRDefault="00B144E8" w:rsidP="002A247A">
            <w:pPr>
              <w:jc w:val="center"/>
            </w:pPr>
            <w:r>
              <w:t>12</w:t>
            </w:r>
          </w:p>
        </w:tc>
        <w:tc>
          <w:tcPr>
            <w:tcW w:w="905" w:type="pct"/>
            <w:vAlign w:val="center"/>
          </w:tcPr>
          <w:p w:rsidR="00B144E8" w:rsidRPr="00D61F37" w:rsidRDefault="00B144E8" w:rsidP="002A247A">
            <w:pPr>
              <w:jc w:val="center"/>
            </w:pPr>
            <w:r>
              <w:t>58%</w:t>
            </w:r>
          </w:p>
        </w:tc>
      </w:tr>
      <w:tr w:rsidR="00B144E8" w:rsidTr="002B022D">
        <w:trPr>
          <w:jc w:val="center"/>
        </w:trPr>
        <w:tc>
          <w:tcPr>
            <w:tcW w:w="1192" w:type="pct"/>
          </w:tcPr>
          <w:p w:rsidR="00B144E8" w:rsidRPr="00D61F37" w:rsidRDefault="00B144E8" w:rsidP="002A247A">
            <w:pPr>
              <w:jc w:val="center"/>
            </w:pPr>
            <w:r>
              <w:t>PM</w:t>
            </w:r>
            <w:r w:rsidRPr="00DC7B30">
              <w:rPr>
                <w:vertAlign w:val="subscript"/>
              </w:rPr>
              <w:t>2.5</w:t>
            </w:r>
            <w:r>
              <w:t xml:space="preserve"> 24-hour</w:t>
            </w:r>
          </w:p>
        </w:tc>
        <w:tc>
          <w:tcPr>
            <w:tcW w:w="653" w:type="pct"/>
            <w:vAlign w:val="center"/>
          </w:tcPr>
          <w:p w:rsidR="00B144E8" w:rsidRDefault="00B144E8" w:rsidP="002A247A">
            <w:pPr>
              <w:jc w:val="center"/>
            </w:pPr>
            <w:r>
              <w:t>4.7</w:t>
            </w:r>
          </w:p>
        </w:tc>
        <w:tc>
          <w:tcPr>
            <w:tcW w:w="815" w:type="pct"/>
            <w:vAlign w:val="center"/>
          </w:tcPr>
          <w:p w:rsidR="00B144E8" w:rsidRDefault="00B144E8" w:rsidP="002A247A">
            <w:pPr>
              <w:jc w:val="center"/>
            </w:pPr>
            <w:r>
              <w:t>14.0</w:t>
            </w:r>
          </w:p>
        </w:tc>
        <w:tc>
          <w:tcPr>
            <w:tcW w:w="878" w:type="pct"/>
            <w:vAlign w:val="center"/>
          </w:tcPr>
          <w:p w:rsidR="00B144E8" w:rsidRDefault="00B144E8" w:rsidP="002A247A">
            <w:pPr>
              <w:jc w:val="center"/>
            </w:pPr>
            <w:r>
              <w:t>18.7</w:t>
            </w:r>
          </w:p>
        </w:tc>
        <w:tc>
          <w:tcPr>
            <w:tcW w:w="556" w:type="pct"/>
            <w:vAlign w:val="center"/>
          </w:tcPr>
          <w:p w:rsidR="00B144E8" w:rsidRDefault="00B144E8" w:rsidP="002A247A">
            <w:pPr>
              <w:jc w:val="center"/>
            </w:pPr>
            <w:r>
              <w:t>35</w:t>
            </w:r>
          </w:p>
        </w:tc>
        <w:tc>
          <w:tcPr>
            <w:tcW w:w="905" w:type="pct"/>
            <w:vAlign w:val="center"/>
          </w:tcPr>
          <w:p w:rsidR="00B144E8" w:rsidRDefault="00B144E8" w:rsidP="002A247A">
            <w:pPr>
              <w:jc w:val="center"/>
            </w:pPr>
            <w:r>
              <w:t>25%</w:t>
            </w:r>
          </w:p>
        </w:tc>
      </w:tr>
      <w:tr w:rsidR="00B144E8" w:rsidTr="002B022D">
        <w:trPr>
          <w:jc w:val="center"/>
        </w:trPr>
        <w:tc>
          <w:tcPr>
            <w:tcW w:w="1192" w:type="pct"/>
          </w:tcPr>
          <w:p w:rsidR="00B144E8" w:rsidRDefault="00B144E8" w:rsidP="002A247A">
            <w:pPr>
              <w:jc w:val="center"/>
            </w:pPr>
            <w:r>
              <w:t>PM</w:t>
            </w:r>
            <w:r w:rsidRPr="00DC7B30">
              <w:rPr>
                <w:vertAlign w:val="subscript"/>
              </w:rPr>
              <w:t>10</w:t>
            </w:r>
            <w:r>
              <w:t xml:space="preserve"> 24-hour</w:t>
            </w:r>
          </w:p>
        </w:tc>
        <w:tc>
          <w:tcPr>
            <w:tcW w:w="653" w:type="pct"/>
            <w:vAlign w:val="center"/>
          </w:tcPr>
          <w:p w:rsidR="00B144E8" w:rsidRDefault="00B144E8" w:rsidP="002A247A">
            <w:pPr>
              <w:jc w:val="center"/>
            </w:pPr>
            <w:r>
              <w:t>11.2</w:t>
            </w:r>
          </w:p>
        </w:tc>
        <w:tc>
          <w:tcPr>
            <w:tcW w:w="815" w:type="pct"/>
            <w:vAlign w:val="center"/>
          </w:tcPr>
          <w:p w:rsidR="00B144E8" w:rsidRDefault="00B144E8" w:rsidP="002A247A">
            <w:pPr>
              <w:jc w:val="center"/>
            </w:pPr>
            <w:r>
              <w:t>40.0</w:t>
            </w:r>
          </w:p>
        </w:tc>
        <w:tc>
          <w:tcPr>
            <w:tcW w:w="878" w:type="pct"/>
            <w:vAlign w:val="center"/>
          </w:tcPr>
          <w:p w:rsidR="00B144E8" w:rsidRDefault="00B144E8" w:rsidP="002A247A">
            <w:pPr>
              <w:jc w:val="center"/>
            </w:pPr>
            <w:r>
              <w:t>51.2</w:t>
            </w:r>
          </w:p>
        </w:tc>
        <w:tc>
          <w:tcPr>
            <w:tcW w:w="556" w:type="pct"/>
            <w:vAlign w:val="center"/>
          </w:tcPr>
          <w:p w:rsidR="00B144E8" w:rsidRDefault="00B144E8" w:rsidP="002A247A">
            <w:pPr>
              <w:jc w:val="center"/>
            </w:pPr>
            <w:r>
              <w:t>150</w:t>
            </w:r>
          </w:p>
        </w:tc>
        <w:tc>
          <w:tcPr>
            <w:tcW w:w="905" w:type="pct"/>
            <w:vAlign w:val="center"/>
          </w:tcPr>
          <w:p w:rsidR="00B144E8" w:rsidRDefault="00B144E8" w:rsidP="002A247A">
            <w:pPr>
              <w:jc w:val="center"/>
            </w:pPr>
            <w:r>
              <w:t>34%</w:t>
            </w:r>
          </w:p>
        </w:tc>
      </w:tr>
    </w:tbl>
    <w:p w:rsidR="007A792F" w:rsidRDefault="007A792F" w:rsidP="002A247A">
      <w:pPr>
        <w:pStyle w:val="ListParagraph"/>
        <w:widowControl w:val="0"/>
        <w:numPr>
          <w:ilvl w:val="3"/>
          <w:numId w:val="15"/>
        </w:numPr>
        <w:spacing w:before="120" w:after="120"/>
        <w:ind w:left="720" w:hanging="720"/>
        <w:jc w:val="both"/>
        <w:rPr>
          <w:i/>
          <w:sz w:val="22"/>
          <w:szCs w:val="22"/>
        </w:rPr>
      </w:pPr>
      <w:r>
        <w:rPr>
          <w:i/>
          <w:sz w:val="22"/>
          <w:szCs w:val="22"/>
        </w:rPr>
        <w:t>Class II Increment Analysis</w:t>
      </w:r>
    </w:p>
    <w:p w:rsidR="007A792F" w:rsidRPr="002A6823" w:rsidRDefault="007A792F" w:rsidP="00EC0CED">
      <w:pPr>
        <w:widowControl w:val="0"/>
        <w:spacing w:after="120"/>
        <w:rPr>
          <w:sz w:val="22"/>
          <w:szCs w:val="22"/>
        </w:rPr>
      </w:pPr>
      <w:r w:rsidRPr="009873B9">
        <w:rPr>
          <w:sz w:val="22"/>
          <w:szCs w:val="22"/>
        </w:rPr>
        <w:t>PSD increment analys</w:t>
      </w:r>
      <w:r>
        <w:rPr>
          <w:sz w:val="22"/>
          <w:szCs w:val="22"/>
        </w:rPr>
        <w:t>es</w:t>
      </w:r>
      <w:r w:rsidRPr="009873B9">
        <w:rPr>
          <w:sz w:val="22"/>
          <w:szCs w:val="22"/>
        </w:rPr>
        <w:t xml:space="preserve"> </w:t>
      </w:r>
      <w:r>
        <w:rPr>
          <w:sz w:val="22"/>
          <w:szCs w:val="22"/>
        </w:rPr>
        <w:t>are</w:t>
      </w:r>
      <w:r w:rsidRPr="009873B9">
        <w:rPr>
          <w:sz w:val="22"/>
          <w:szCs w:val="22"/>
        </w:rPr>
        <w:t xml:space="preserve"> necessary</w:t>
      </w:r>
      <w:r>
        <w:rPr>
          <w:sz w:val="22"/>
          <w:szCs w:val="22"/>
        </w:rPr>
        <w:t xml:space="preserve"> for the 24-hour and annual average PM</w:t>
      </w:r>
      <w:r w:rsidRPr="004616A9">
        <w:rPr>
          <w:sz w:val="22"/>
          <w:szCs w:val="22"/>
          <w:vertAlign w:val="subscript"/>
        </w:rPr>
        <w:t>2.5</w:t>
      </w:r>
      <w:r w:rsidRPr="009873B9">
        <w:rPr>
          <w:sz w:val="22"/>
          <w:szCs w:val="22"/>
        </w:rPr>
        <w:t xml:space="preserve"> </w:t>
      </w:r>
      <w:r>
        <w:rPr>
          <w:sz w:val="22"/>
          <w:szCs w:val="22"/>
        </w:rPr>
        <w:t>and PM</w:t>
      </w:r>
      <w:r w:rsidRPr="00DC7B30">
        <w:rPr>
          <w:sz w:val="22"/>
          <w:szCs w:val="22"/>
          <w:vertAlign w:val="subscript"/>
        </w:rPr>
        <w:t>10</w:t>
      </w:r>
      <w:r>
        <w:rPr>
          <w:sz w:val="22"/>
          <w:szCs w:val="22"/>
        </w:rPr>
        <w:t xml:space="preserve"> impacts </w:t>
      </w:r>
      <w:r w:rsidRPr="009873B9">
        <w:rPr>
          <w:sz w:val="22"/>
          <w:szCs w:val="22"/>
        </w:rPr>
        <w:t>for this project</w:t>
      </w:r>
      <w:r>
        <w:rPr>
          <w:sz w:val="22"/>
          <w:szCs w:val="22"/>
        </w:rPr>
        <w:t xml:space="preserve">. </w:t>
      </w:r>
      <w:r w:rsidRPr="009873B9">
        <w:rPr>
          <w:sz w:val="22"/>
          <w:szCs w:val="22"/>
        </w:rPr>
        <w:t>The PSD increment represents the limit above an established baseline concentration that new sources may increase the local ambient ground level concentrations of a pollutant</w:t>
      </w:r>
      <w:r>
        <w:rPr>
          <w:sz w:val="22"/>
          <w:szCs w:val="22"/>
        </w:rPr>
        <w:t xml:space="preserve"> (without exceeding the NAAQS). </w:t>
      </w:r>
      <w:r w:rsidRPr="009873B9">
        <w:rPr>
          <w:sz w:val="22"/>
          <w:szCs w:val="22"/>
        </w:rPr>
        <w:t xml:space="preserve">PSD increment modeling is similar to NAAQS modeling in that it is a cumulative analysis that takes into account the impact from nearby increment consuming </w:t>
      </w:r>
      <w:r>
        <w:rPr>
          <w:sz w:val="22"/>
          <w:szCs w:val="22"/>
        </w:rPr>
        <w:t xml:space="preserve">and expanding </w:t>
      </w:r>
      <w:r w:rsidRPr="009873B9">
        <w:rPr>
          <w:sz w:val="22"/>
          <w:szCs w:val="22"/>
        </w:rPr>
        <w:t xml:space="preserve">sources, </w:t>
      </w:r>
      <w:r>
        <w:rPr>
          <w:sz w:val="22"/>
          <w:szCs w:val="22"/>
        </w:rPr>
        <w:t>except that a</w:t>
      </w:r>
      <w:r w:rsidRPr="009873B9">
        <w:rPr>
          <w:sz w:val="22"/>
          <w:szCs w:val="22"/>
        </w:rPr>
        <w:t xml:space="preserve"> backgroun</w:t>
      </w:r>
      <w:r>
        <w:rPr>
          <w:sz w:val="22"/>
          <w:szCs w:val="22"/>
        </w:rPr>
        <w:t>d concentration is not added. An increment consuming source is any source that has increased actual emissions since the established baseline date for a pollutant while increment expanding sources are any sources with a decrease in actual emissions. The baseline date for PM</w:t>
      </w:r>
      <w:r w:rsidRPr="004A6150">
        <w:rPr>
          <w:sz w:val="22"/>
          <w:szCs w:val="22"/>
          <w:vertAlign w:val="subscript"/>
        </w:rPr>
        <w:t>2.5</w:t>
      </w:r>
      <w:r>
        <w:rPr>
          <w:sz w:val="22"/>
          <w:szCs w:val="22"/>
        </w:rPr>
        <w:t xml:space="preserve"> and PM</w:t>
      </w:r>
      <w:r w:rsidRPr="00DC7B30">
        <w:rPr>
          <w:sz w:val="22"/>
          <w:szCs w:val="22"/>
          <w:vertAlign w:val="subscript"/>
        </w:rPr>
        <w:t>10</w:t>
      </w:r>
      <w:r>
        <w:rPr>
          <w:sz w:val="22"/>
          <w:szCs w:val="22"/>
        </w:rPr>
        <w:t xml:space="preserve"> is October 20, 2010. There are no increment-affecting sources near the project site. Five years were modeled individually using AERMOD, including all the same modeling parameters from the SIL analysis and the highest annual average and highest, second-high 24-hour average concentrations were then compared to the increments. The results shown in </w:t>
      </w:r>
      <w:r w:rsidRPr="002A6823">
        <w:rPr>
          <w:b/>
          <w:sz w:val="22"/>
          <w:szCs w:val="22"/>
        </w:rPr>
        <w:fldChar w:fldCharType="begin"/>
      </w:r>
      <w:r w:rsidRPr="002A6823">
        <w:rPr>
          <w:b/>
          <w:sz w:val="22"/>
          <w:szCs w:val="22"/>
        </w:rPr>
        <w:instrText xml:space="preserve"> REF _Ref485729163 \h  \* MERGEFORMAT </w:instrText>
      </w:r>
      <w:r w:rsidRPr="002A6823">
        <w:rPr>
          <w:b/>
          <w:sz w:val="22"/>
          <w:szCs w:val="22"/>
        </w:rPr>
      </w:r>
      <w:r w:rsidRPr="002A6823">
        <w:rPr>
          <w:b/>
          <w:sz w:val="22"/>
          <w:szCs w:val="22"/>
        </w:rPr>
        <w:fldChar w:fldCharType="separate"/>
      </w:r>
      <w:r w:rsidR="005A4C55" w:rsidRPr="005A4C55">
        <w:rPr>
          <w:b/>
          <w:sz w:val="22"/>
          <w:szCs w:val="22"/>
        </w:rPr>
        <w:t xml:space="preserve">Table </w:t>
      </w:r>
      <w:r w:rsidR="005A4C55" w:rsidRPr="005A4C55">
        <w:rPr>
          <w:b/>
          <w:noProof/>
          <w:sz w:val="22"/>
          <w:szCs w:val="22"/>
        </w:rPr>
        <w:t>11</w:t>
      </w:r>
      <w:r w:rsidRPr="002A6823">
        <w:rPr>
          <w:b/>
          <w:sz w:val="22"/>
          <w:szCs w:val="22"/>
        </w:rPr>
        <w:fldChar w:fldCharType="end"/>
      </w:r>
      <w:r w:rsidRPr="002A6823">
        <w:rPr>
          <w:b/>
          <w:sz w:val="22"/>
          <w:szCs w:val="22"/>
        </w:rPr>
        <w:t xml:space="preserve"> </w:t>
      </w:r>
      <w:r>
        <w:rPr>
          <w:sz w:val="22"/>
          <w:szCs w:val="22"/>
        </w:rPr>
        <w:t>indicate that no exceedance of an allowable PSD Class II increment is expected for this project.</w:t>
      </w:r>
    </w:p>
    <w:p w:rsidR="007A792F" w:rsidRDefault="007A792F" w:rsidP="002A247A">
      <w:pPr>
        <w:pStyle w:val="Caption"/>
        <w:spacing w:before="120"/>
        <w:jc w:val="center"/>
      </w:pPr>
      <w:bookmarkStart w:id="29" w:name="_Ref485729163"/>
      <w:r>
        <w:t xml:space="preserve">Table </w:t>
      </w:r>
      <w:fldSimple w:instr=" SEQ Table \* ARABIC ">
        <w:r w:rsidR="00CF4EEA">
          <w:rPr>
            <w:noProof/>
          </w:rPr>
          <w:t>11</w:t>
        </w:r>
      </w:fldSimple>
      <w:bookmarkEnd w:id="29"/>
      <w:r>
        <w:t xml:space="preserve"> - </w:t>
      </w:r>
      <w:r w:rsidRPr="00C55E87">
        <w:t>CUMULATIVE MODELING RESULTS FOR THE PROJECT COMPARED TO THE CLASS II PSD INCREMENTS.</w:t>
      </w:r>
    </w:p>
    <w:tbl>
      <w:tblPr>
        <w:tblStyle w:val="TableGrid"/>
        <w:tblW w:w="3126" w:type="pct"/>
        <w:jc w:val="center"/>
        <w:tblBorders>
          <w:insideH w:val="none" w:sz="0" w:space="0" w:color="auto"/>
          <w:insideV w:val="none" w:sz="0" w:space="0" w:color="auto"/>
        </w:tblBorders>
        <w:tblLook w:val="04A0" w:firstRow="1" w:lastRow="0" w:firstColumn="1" w:lastColumn="0" w:noHBand="0" w:noVBand="1"/>
      </w:tblPr>
      <w:tblGrid>
        <w:gridCol w:w="1975"/>
        <w:gridCol w:w="1729"/>
        <w:gridCol w:w="1152"/>
        <w:gridCol w:w="1350"/>
      </w:tblGrid>
      <w:tr w:rsidR="00B144E8" w:rsidTr="002B022D">
        <w:trPr>
          <w:trHeight w:val="510"/>
          <w:jc w:val="center"/>
        </w:trPr>
        <w:tc>
          <w:tcPr>
            <w:tcW w:w="1591" w:type="pct"/>
            <w:shd w:val="clear" w:color="auto" w:fill="C6D9F1" w:themeFill="text2" w:themeFillTint="33"/>
            <w:vAlign w:val="center"/>
          </w:tcPr>
          <w:p w:rsidR="00B144E8" w:rsidRPr="00D61F37" w:rsidRDefault="00B144E8" w:rsidP="002A247A">
            <w:pPr>
              <w:jc w:val="center"/>
              <w:rPr>
                <w:b/>
              </w:rPr>
            </w:pPr>
            <w:r>
              <w:rPr>
                <w:b/>
              </w:rPr>
              <w:t>Pollutant and Averaging Time</w:t>
            </w:r>
          </w:p>
        </w:tc>
        <w:tc>
          <w:tcPr>
            <w:tcW w:w="1393" w:type="pct"/>
            <w:shd w:val="clear" w:color="auto" w:fill="C6D9F1" w:themeFill="text2" w:themeFillTint="33"/>
            <w:vAlign w:val="center"/>
          </w:tcPr>
          <w:p w:rsidR="00B144E8" w:rsidRDefault="00B144E8" w:rsidP="002A247A">
            <w:pPr>
              <w:jc w:val="center"/>
              <w:rPr>
                <w:b/>
              </w:rPr>
            </w:pPr>
            <w:r>
              <w:rPr>
                <w:b/>
              </w:rPr>
              <w:t>Maximum Concentration (µg/m</w:t>
            </w:r>
            <w:r w:rsidRPr="00DC7B30">
              <w:rPr>
                <w:b/>
                <w:vertAlign w:val="superscript"/>
              </w:rPr>
              <w:t>3</w:t>
            </w:r>
            <w:r>
              <w:rPr>
                <w:b/>
              </w:rPr>
              <w:t>)</w:t>
            </w:r>
          </w:p>
        </w:tc>
        <w:tc>
          <w:tcPr>
            <w:tcW w:w="928" w:type="pct"/>
            <w:shd w:val="clear" w:color="auto" w:fill="C6D9F1" w:themeFill="text2" w:themeFillTint="33"/>
            <w:vAlign w:val="center"/>
          </w:tcPr>
          <w:p w:rsidR="00B144E8" w:rsidRPr="00D61F37" w:rsidRDefault="00B144E8" w:rsidP="002A247A">
            <w:pPr>
              <w:jc w:val="center"/>
              <w:rPr>
                <w:b/>
              </w:rPr>
            </w:pPr>
            <w:r>
              <w:rPr>
                <w:b/>
              </w:rPr>
              <w:t>PSD Increment (µg/m</w:t>
            </w:r>
            <w:r w:rsidRPr="00DC7B30">
              <w:rPr>
                <w:b/>
                <w:vertAlign w:val="superscript"/>
              </w:rPr>
              <w:t>3</w:t>
            </w:r>
            <w:r>
              <w:rPr>
                <w:b/>
              </w:rPr>
              <w:t>)</w:t>
            </w:r>
          </w:p>
        </w:tc>
        <w:tc>
          <w:tcPr>
            <w:tcW w:w="1088" w:type="pct"/>
            <w:shd w:val="clear" w:color="auto" w:fill="C6D9F1" w:themeFill="text2" w:themeFillTint="33"/>
            <w:vAlign w:val="center"/>
          </w:tcPr>
          <w:p w:rsidR="00B144E8" w:rsidRPr="00D61F37" w:rsidRDefault="00B144E8" w:rsidP="002A247A">
            <w:pPr>
              <w:jc w:val="center"/>
              <w:rPr>
                <w:b/>
              </w:rPr>
            </w:pPr>
            <w:r w:rsidRPr="00D61F37">
              <w:rPr>
                <w:b/>
              </w:rPr>
              <w:t xml:space="preserve">Percent of </w:t>
            </w:r>
            <w:r>
              <w:rPr>
                <w:b/>
              </w:rPr>
              <w:t>Increment</w:t>
            </w:r>
          </w:p>
        </w:tc>
      </w:tr>
      <w:tr w:rsidR="00B144E8" w:rsidTr="002B022D">
        <w:trPr>
          <w:jc w:val="center"/>
        </w:trPr>
        <w:tc>
          <w:tcPr>
            <w:tcW w:w="1591" w:type="pct"/>
          </w:tcPr>
          <w:p w:rsidR="00B144E8" w:rsidRPr="00D61F37" w:rsidRDefault="00B144E8" w:rsidP="002A247A">
            <w:pPr>
              <w:jc w:val="center"/>
            </w:pPr>
            <w:r>
              <w:t>PM</w:t>
            </w:r>
            <w:r w:rsidRPr="00DC7B30">
              <w:rPr>
                <w:vertAlign w:val="subscript"/>
              </w:rPr>
              <w:t>2.5</w:t>
            </w:r>
            <w:r>
              <w:t xml:space="preserve"> Annual</w:t>
            </w:r>
          </w:p>
        </w:tc>
        <w:tc>
          <w:tcPr>
            <w:tcW w:w="1393" w:type="pct"/>
          </w:tcPr>
          <w:p w:rsidR="00B144E8" w:rsidRDefault="00B144E8" w:rsidP="002A247A">
            <w:pPr>
              <w:jc w:val="center"/>
            </w:pPr>
            <w:r>
              <w:t>0.6</w:t>
            </w:r>
          </w:p>
        </w:tc>
        <w:tc>
          <w:tcPr>
            <w:tcW w:w="928" w:type="pct"/>
            <w:vAlign w:val="center"/>
          </w:tcPr>
          <w:p w:rsidR="00B144E8" w:rsidRPr="00D61F37" w:rsidRDefault="00B144E8" w:rsidP="002A247A">
            <w:pPr>
              <w:jc w:val="center"/>
            </w:pPr>
            <w:r>
              <w:t>4</w:t>
            </w:r>
          </w:p>
        </w:tc>
        <w:tc>
          <w:tcPr>
            <w:tcW w:w="1088" w:type="pct"/>
            <w:vAlign w:val="center"/>
          </w:tcPr>
          <w:p w:rsidR="00B144E8" w:rsidRPr="00D61F37" w:rsidRDefault="00B144E8" w:rsidP="002A247A">
            <w:pPr>
              <w:jc w:val="center"/>
            </w:pPr>
            <w:r>
              <w:t>15%</w:t>
            </w:r>
          </w:p>
        </w:tc>
      </w:tr>
      <w:tr w:rsidR="00B144E8" w:rsidTr="002B022D">
        <w:trPr>
          <w:jc w:val="center"/>
        </w:trPr>
        <w:tc>
          <w:tcPr>
            <w:tcW w:w="1591" w:type="pct"/>
          </w:tcPr>
          <w:p w:rsidR="00B144E8" w:rsidRPr="00D61F37" w:rsidRDefault="00B144E8" w:rsidP="002A247A">
            <w:pPr>
              <w:jc w:val="center"/>
            </w:pPr>
            <w:r>
              <w:t>PM</w:t>
            </w:r>
            <w:r w:rsidRPr="00DC7B30">
              <w:rPr>
                <w:vertAlign w:val="subscript"/>
              </w:rPr>
              <w:t>2.5</w:t>
            </w:r>
            <w:r>
              <w:t xml:space="preserve"> 24-hour</w:t>
            </w:r>
          </w:p>
        </w:tc>
        <w:tc>
          <w:tcPr>
            <w:tcW w:w="1393" w:type="pct"/>
          </w:tcPr>
          <w:p w:rsidR="00B144E8" w:rsidRDefault="00B144E8" w:rsidP="002A247A">
            <w:pPr>
              <w:jc w:val="center"/>
            </w:pPr>
            <w:r>
              <w:t>6.8</w:t>
            </w:r>
          </w:p>
        </w:tc>
        <w:tc>
          <w:tcPr>
            <w:tcW w:w="928" w:type="pct"/>
            <w:vAlign w:val="center"/>
          </w:tcPr>
          <w:p w:rsidR="00B144E8" w:rsidRDefault="00B144E8" w:rsidP="002A247A">
            <w:pPr>
              <w:jc w:val="center"/>
            </w:pPr>
            <w:r>
              <w:t>9</w:t>
            </w:r>
          </w:p>
        </w:tc>
        <w:tc>
          <w:tcPr>
            <w:tcW w:w="1088" w:type="pct"/>
            <w:vAlign w:val="center"/>
          </w:tcPr>
          <w:p w:rsidR="00B144E8" w:rsidRDefault="00B144E8" w:rsidP="002A247A">
            <w:pPr>
              <w:jc w:val="center"/>
            </w:pPr>
            <w:r>
              <w:t>76%</w:t>
            </w:r>
          </w:p>
        </w:tc>
      </w:tr>
      <w:tr w:rsidR="00B144E8" w:rsidTr="002B022D">
        <w:trPr>
          <w:jc w:val="center"/>
        </w:trPr>
        <w:tc>
          <w:tcPr>
            <w:tcW w:w="1591" w:type="pct"/>
          </w:tcPr>
          <w:p w:rsidR="00B144E8" w:rsidRDefault="00B144E8" w:rsidP="002A247A">
            <w:pPr>
              <w:jc w:val="center"/>
            </w:pPr>
            <w:r>
              <w:t>PM</w:t>
            </w:r>
            <w:r w:rsidRPr="00DC7B30">
              <w:rPr>
                <w:vertAlign w:val="subscript"/>
              </w:rPr>
              <w:t>10</w:t>
            </w:r>
            <w:r>
              <w:t xml:space="preserve"> Annual</w:t>
            </w:r>
          </w:p>
        </w:tc>
        <w:tc>
          <w:tcPr>
            <w:tcW w:w="1393" w:type="pct"/>
          </w:tcPr>
          <w:p w:rsidR="00B144E8" w:rsidRDefault="00B144E8" w:rsidP="002A247A">
            <w:pPr>
              <w:jc w:val="center"/>
            </w:pPr>
            <w:r>
              <w:t>1.7</w:t>
            </w:r>
          </w:p>
        </w:tc>
        <w:tc>
          <w:tcPr>
            <w:tcW w:w="928" w:type="pct"/>
            <w:vAlign w:val="center"/>
          </w:tcPr>
          <w:p w:rsidR="00B144E8" w:rsidRDefault="00B144E8" w:rsidP="002A247A">
            <w:pPr>
              <w:jc w:val="center"/>
            </w:pPr>
            <w:r>
              <w:t>17</w:t>
            </w:r>
          </w:p>
        </w:tc>
        <w:tc>
          <w:tcPr>
            <w:tcW w:w="1088" w:type="pct"/>
            <w:vAlign w:val="center"/>
          </w:tcPr>
          <w:p w:rsidR="00B144E8" w:rsidRDefault="00B144E8" w:rsidP="002A247A">
            <w:pPr>
              <w:jc w:val="center"/>
            </w:pPr>
            <w:r>
              <w:t>10%</w:t>
            </w:r>
          </w:p>
        </w:tc>
      </w:tr>
      <w:tr w:rsidR="00B144E8" w:rsidTr="002B022D">
        <w:trPr>
          <w:jc w:val="center"/>
        </w:trPr>
        <w:tc>
          <w:tcPr>
            <w:tcW w:w="1591" w:type="pct"/>
          </w:tcPr>
          <w:p w:rsidR="00B144E8" w:rsidRDefault="00B144E8" w:rsidP="002A247A">
            <w:pPr>
              <w:jc w:val="center"/>
            </w:pPr>
            <w:r>
              <w:t>PM</w:t>
            </w:r>
            <w:r w:rsidRPr="00DC7B30">
              <w:rPr>
                <w:vertAlign w:val="subscript"/>
              </w:rPr>
              <w:t>10</w:t>
            </w:r>
            <w:r>
              <w:t xml:space="preserve"> 24-hour</w:t>
            </w:r>
          </w:p>
        </w:tc>
        <w:tc>
          <w:tcPr>
            <w:tcW w:w="1393" w:type="pct"/>
          </w:tcPr>
          <w:p w:rsidR="00B144E8" w:rsidRDefault="00B144E8" w:rsidP="002A247A">
            <w:pPr>
              <w:jc w:val="center"/>
            </w:pPr>
            <w:r>
              <w:t>11.5</w:t>
            </w:r>
          </w:p>
        </w:tc>
        <w:tc>
          <w:tcPr>
            <w:tcW w:w="928" w:type="pct"/>
            <w:vAlign w:val="center"/>
          </w:tcPr>
          <w:p w:rsidR="00B144E8" w:rsidRDefault="00B144E8" w:rsidP="002A247A">
            <w:pPr>
              <w:jc w:val="center"/>
            </w:pPr>
            <w:r>
              <w:t>30</w:t>
            </w:r>
          </w:p>
        </w:tc>
        <w:tc>
          <w:tcPr>
            <w:tcW w:w="1088" w:type="pct"/>
            <w:vAlign w:val="center"/>
          </w:tcPr>
          <w:p w:rsidR="00B144E8" w:rsidRDefault="00B144E8" w:rsidP="002A247A">
            <w:pPr>
              <w:jc w:val="center"/>
            </w:pPr>
            <w:r>
              <w:t>38%</w:t>
            </w:r>
          </w:p>
        </w:tc>
      </w:tr>
    </w:tbl>
    <w:p w:rsidR="007A792F" w:rsidRPr="001C0B0F" w:rsidRDefault="007A792F" w:rsidP="002A247A">
      <w:pPr>
        <w:pStyle w:val="ListParagraph"/>
        <w:widowControl w:val="0"/>
        <w:numPr>
          <w:ilvl w:val="2"/>
          <w:numId w:val="15"/>
        </w:numPr>
        <w:spacing w:before="120" w:after="120"/>
        <w:ind w:left="720" w:hanging="720"/>
        <w:contextualSpacing w:val="0"/>
        <w:jc w:val="both"/>
        <w:rPr>
          <w:i/>
          <w:sz w:val="22"/>
          <w:szCs w:val="22"/>
        </w:rPr>
      </w:pPr>
      <w:r w:rsidRPr="001C0B0F">
        <w:rPr>
          <w:i/>
          <w:sz w:val="22"/>
          <w:szCs w:val="22"/>
        </w:rPr>
        <w:t>Class I Analysis</w:t>
      </w:r>
    </w:p>
    <w:p w:rsidR="007A792F" w:rsidRDefault="007A792F" w:rsidP="00EC0CED">
      <w:pPr>
        <w:widowControl w:val="0"/>
        <w:spacing w:after="120"/>
        <w:rPr>
          <w:sz w:val="22"/>
          <w:szCs w:val="22"/>
        </w:rPr>
      </w:pPr>
      <w:r>
        <w:rPr>
          <w:sz w:val="22"/>
          <w:szCs w:val="22"/>
        </w:rPr>
        <w:t>All areas not explicitly designated as Class I in 40 CFR 81 Subpart D (such as national parks and wilderness areas) are considered Class II areas.  While the NAAQS apply to all areas equally, more stringent SILs and increments exist for Class I areas.  A Class I analysis is required for any project that may affect a Federal Class I area.  The Class I areas closest to the project site are Everglades National Park (ENP), 147 km to the southeast and Chassahowitzka National Wilderness Area (CNWA), 188 km to the northwest (</w:t>
      </w:r>
      <w:r w:rsidRPr="0024572D">
        <w:rPr>
          <w:b/>
          <w:sz w:val="22"/>
          <w:szCs w:val="22"/>
        </w:rPr>
        <w:fldChar w:fldCharType="begin"/>
      </w:r>
      <w:r w:rsidRPr="0024572D">
        <w:rPr>
          <w:b/>
          <w:sz w:val="22"/>
          <w:szCs w:val="22"/>
        </w:rPr>
        <w:instrText xml:space="preserve"> REF _Ref485728801 \h  \* MERGEFORMAT </w:instrText>
      </w:r>
      <w:r w:rsidRPr="0024572D">
        <w:rPr>
          <w:b/>
          <w:sz w:val="22"/>
          <w:szCs w:val="22"/>
        </w:rPr>
      </w:r>
      <w:r w:rsidRPr="0024572D">
        <w:rPr>
          <w:b/>
          <w:sz w:val="22"/>
          <w:szCs w:val="22"/>
        </w:rPr>
        <w:fldChar w:fldCharType="separate"/>
      </w:r>
      <w:r w:rsidR="005A4C55" w:rsidRPr="005A4C55">
        <w:rPr>
          <w:b/>
          <w:sz w:val="22"/>
          <w:szCs w:val="22"/>
        </w:rPr>
        <w:t xml:space="preserve">Figure </w:t>
      </w:r>
      <w:r w:rsidR="005A4C55" w:rsidRPr="005A4C55">
        <w:rPr>
          <w:b/>
          <w:noProof/>
          <w:sz w:val="22"/>
          <w:szCs w:val="22"/>
        </w:rPr>
        <w:t>12</w:t>
      </w:r>
      <w:r w:rsidRPr="0024572D">
        <w:rPr>
          <w:b/>
          <w:sz w:val="22"/>
          <w:szCs w:val="22"/>
        </w:rPr>
        <w:fldChar w:fldCharType="end"/>
      </w:r>
      <w:r>
        <w:rPr>
          <w:sz w:val="22"/>
          <w:szCs w:val="22"/>
        </w:rPr>
        <w:t>).  There are no other Class I areas within 350 km of the site.</w:t>
      </w:r>
    </w:p>
    <w:p w:rsidR="007A792F" w:rsidRDefault="007A792F" w:rsidP="002A247A">
      <w:pPr>
        <w:widowControl w:val="0"/>
        <w:spacing w:after="120"/>
        <w:jc w:val="center"/>
      </w:pPr>
      <w:r>
        <w:rPr>
          <w:noProof/>
          <w:sz w:val="22"/>
          <w:szCs w:val="22"/>
        </w:rPr>
        <w:lastRenderedPageBreak/>
        <w:drawing>
          <wp:inline distT="0" distB="0" distL="0" distR="0" wp14:anchorId="08ADAEAA" wp14:editId="0A12524E">
            <wp:extent cx="5740022" cy="524827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lass I areas.jpg"/>
                    <pic:cNvPicPr/>
                  </pic:nvPicPr>
                  <pic:blipFill rotWithShape="1">
                    <a:blip r:embed="rId52" cstate="print">
                      <a:extLst>
                        <a:ext uri="{28A0092B-C50C-407E-A947-70E740481C1C}">
                          <a14:useLocalDpi xmlns:a14="http://schemas.microsoft.com/office/drawing/2010/main" val="0"/>
                        </a:ext>
                      </a:extLst>
                    </a:blip>
                    <a:srcRect l="755" t="8284" r="2325" b="23238"/>
                    <a:stretch/>
                  </pic:blipFill>
                  <pic:spPr bwMode="auto">
                    <a:xfrm>
                      <a:off x="0" y="0"/>
                      <a:ext cx="5740022" cy="5248275"/>
                    </a:xfrm>
                    <a:prstGeom prst="rect">
                      <a:avLst/>
                    </a:prstGeom>
                    <a:ln>
                      <a:noFill/>
                    </a:ln>
                    <a:extLst>
                      <a:ext uri="{53640926-AAD7-44D8-BBD7-CCE9431645EC}">
                        <a14:shadowObscured xmlns:a14="http://schemas.microsoft.com/office/drawing/2010/main"/>
                      </a:ext>
                    </a:extLst>
                  </pic:spPr>
                </pic:pic>
              </a:graphicData>
            </a:graphic>
          </wp:inline>
        </w:drawing>
      </w:r>
    </w:p>
    <w:p w:rsidR="007A792F" w:rsidRDefault="007A792F" w:rsidP="00D87101">
      <w:pPr>
        <w:pStyle w:val="Caption"/>
        <w:spacing w:before="120"/>
        <w:jc w:val="center"/>
        <w:rPr>
          <w:szCs w:val="22"/>
        </w:rPr>
      </w:pPr>
      <w:bookmarkStart w:id="30" w:name="_Ref485728801"/>
      <w:r>
        <w:rPr>
          <w:caps w:val="0"/>
        </w:rPr>
        <w:t xml:space="preserve">Figure </w:t>
      </w:r>
      <w:fldSimple w:instr=" SEQ Figure \* ARABIC ">
        <w:r w:rsidR="005A4C55">
          <w:rPr>
            <w:noProof/>
          </w:rPr>
          <w:t>12</w:t>
        </w:r>
      </w:fldSimple>
      <w:bookmarkEnd w:id="30"/>
      <w:r>
        <w:t xml:space="preserve">. </w:t>
      </w:r>
      <w:r w:rsidRPr="00B2488D">
        <w:rPr>
          <w:caps w:val="0"/>
        </w:rPr>
        <w:t xml:space="preserve">Map of </w:t>
      </w:r>
      <w:r>
        <w:rPr>
          <w:caps w:val="0"/>
        </w:rPr>
        <w:t>F</w:t>
      </w:r>
      <w:r w:rsidRPr="00B2488D">
        <w:rPr>
          <w:caps w:val="0"/>
        </w:rPr>
        <w:t xml:space="preserve">ederal </w:t>
      </w:r>
      <w:r>
        <w:rPr>
          <w:caps w:val="0"/>
        </w:rPr>
        <w:t>C</w:t>
      </w:r>
      <w:r w:rsidRPr="00B2488D">
        <w:rPr>
          <w:caps w:val="0"/>
        </w:rPr>
        <w:t xml:space="preserve">lass </w:t>
      </w:r>
      <w:r>
        <w:rPr>
          <w:caps w:val="0"/>
        </w:rPr>
        <w:t>I</w:t>
      </w:r>
      <w:r w:rsidRPr="00B2488D">
        <w:rPr>
          <w:caps w:val="0"/>
        </w:rPr>
        <w:t xml:space="preserve"> areas near the project site.</w:t>
      </w:r>
    </w:p>
    <w:p w:rsidR="007A792F" w:rsidRDefault="007A792F" w:rsidP="002A247A">
      <w:pPr>
        <w:pStyle w:val="ListParagraph"/>
        <w:widowControl w:val="0"/>
        <w:numPr>
          <w:ilvl w:val="3"/>
          <w:numId w:val="15"/>
        </w:numPr>
        <w:spacing w:after="120"/>
        <w:ind w:left="720" w:hanging="720"/>
        <w:jc w:val="both"/>
        <w:rPr>
          <w:i/>
          <w:sz w:val="22"/>
          <w:szCs w:val="22"/>
        </w:rPr>
      </w:pPr>
      <w:r>
        <w:rPr>
          <w:i/>
          <w:sz w:val="22"/>
          <w:szCs w:val="22"/>
        </w:rPr>
        <w:t>Class I SIL analysis</w:t>
      </w:r>
    </w:p>
    <w:p w:rsidR="00AD7B43" w:rsidRDefault="007A792F" w:rsidP="002A247A">
      <w:pPr>
        <w:widowControl w:val="0"/>
        <w:spacing w:after="120"/>
        <w:rPr>
          <w:sz w:val="22"/>
          <w:szCs w:val="22"/>
        </w:rPr>
      </w:pPr>
      <w:r>
        <w:rPr>
          <w:sz w:val="22"/>
          <w:szCs w:val="22"/>
        </w:rPr>
        <w:t>A screening analysis was performed using AERMOD to evaluate the annual and 24-hour PM</w:t>
      </w:r>
      <w:r w:rsidRPr="00DC7B30">
        <w:rPr>
          <w:sz w:val="22"/>
          <w:szCs w:val="22"/>
          <w:vertAlign w:val="subscript"/>
        </w:rPr>
        <w:t>2.5</w:t>
      </w:r>
      <w:r>
        <w:rPr>
          <w:sz w:val="22"/>
          <w:szCs w:val="22"/>
        </w:rPr>
        <w:t xml:space="preserve"> and PM</w:t>
      </w:r>
      <w:r w:rsidRPr="00DC7B30">
        <w:rPr>
          <w:sz w:val="22"/>
          <w:szCs w:val="22"/>
          <w:vertAlign w:val="subscript"/>
        </w:rPr>
        <w:t>10</w:t>
      </w:r>
      <w:r>
        <w:rPr>
          <w:sz w:val="22"/>
          <w:szCs w:val="22"/>
        </w:rPr>
        <w:t xml:space="preserve"> SILs.  AERMOD was run using a ring of receptors located 50 km from the project site and space at 1 degree intervals.  The results in </w:t>
      </w:r>
      <w:r w:rsidRPr="002A6823">
        <w:rPr>
          <w:b/>
          <w:sz w:val="22"/>
          <w:szCs w:val="22"/>
        </w:rPr>
        <w:fldChar w:fldCharType="begin"/>
      </w:r>
      <w:r w:rsidRPr="002A6823">
        <w:rPr>
          <w:b/>
          <w:sz w:val="22"/>
          <w:szCs w:val="22"/>
        </w:rPr>
        <w:instrText xml:space="preserve"> REF _Ref485729208 \h  \* MERGEFORMAT </w:instrText>
      </w:r>
      <w:r w:rsidRPr="002A6823">
        <w:rPr>
          <w:b/>
          <w:sz w:val="22"/>
          <w:szCs w:val="22"/>
        </w:rPr>
      </w:r>
      <w:r w:rsidRPr="002A6823">
        <w:rPr>
          <w:b/>
          <w:sz w:val="22"/>
          <w:szCs w:val="22"/>
        </w:rPr>
        <w:fldChar w:fldCharType="separate"/>
      </w:r>
      <w:r w:rsidR="005A4C55" w:rsidRPr="005A4C55">
        <w:rPr>
          <w:b/>
          <w:sz w:val="22"/>
          <w:szCs w:val="22"/>
        </w:rPr>
        <w:t xml:space="preserve">Table </w:t>
      </w:r>
      <w:r w:rsidR="005A4C55" w:rsidRPr="005A4C55">
        <w:rPr>
          <w:b/>
          <w:noProof/>
          <w:sz w:val="22"/>
          <w:szCs w:val="22"/>
        </w:rPr>
        <w:t>12</w:t>
      </w:r>
      <w:r w:rsidRPr="002A6823">
        <w:rPr>
          <w:b/>
          <w:sz w:val="22"/>
          <w:szCs w:val="22"/>
        </w:rPr>
        <w:fldChar w:fldCharType="end"/>
      </w:r>
      <w:r>
        <w:rPr>
          <w:sz w:val="22"/>
          <w:szCs w:val="22"/>
        </w:rPr>
        <w:t xml:space="preserve"> show that the maximum impacts are below all SILs; therefore, a cumulative Class I inc</w:t>
      </w:r>
      <w:r w:rsidR="00AD7B43">
        <w:rPr>
          <w:sz w:val="22"/>
          <w:szCs w:val="22"/>
        </w:rPr>
        <w:t>rement analysis is not required.</w:t>
      </w:r>
    </w:p>
    <w:p w:rsidR="00E67697" w:rsidRDefault="00E67697" w:rsidP="002A247A">
      <w:pPr>
        <w:pStyle w:val="Caption"/>
        <w:jc w:val="center"/>
      </w:pPr>
      <w:bookmarkStart w:id="31" w:name="_Ref485729208"/>
      <w:r>
        <w:t xml:space="preserve">Table </w:t>
      </w:r>
      <w:fldSimple w:instr=" SEQ Table \* ARABIC ">
        <w:r w:rsidR="00CF4EEA">
          <w:rPr>
            <w:noProof/>
          </w:rPr>
          <w:t>12</w:t>
        </w:r>
      </w:fldSimple>
      <w:bookmarkEnd w:id="31"/>
      <w:r>
        <w:t xml:space="preserve"> - </w:t>
      </w:r>
      <w:r w:rsidRPr="00D63724">
        <w:t>MAXIMUM PREDICTED AIR QUALITY IMPACTS 50 KM FROM THE PROJECT SITE COMPARED TO THE CLASS I SIL.</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007"/>
        <w:gridCol w:w="1689"/>
        <w:gridCol w:w="2249"/>
        <w:gridCol w:w="1352"/>
        <w:gridCol w:w="1711"/>
        <w:gridCol w:w="1918"/>
      </w:tblGrid>
      <w:tr w:rsidR="00E67697" w:rsidRPr="004A2248" w:rsidTr="00C40694">
        <w:trPr>
          <w:cantSplit/>
          <w:trHeight w:val="395"/>
          <w:tblHeader/>
        </w:trPr>
        <w:tc>
          <w:tcPr>
            <w:tcW w:w="507" w:type="pct"/>
            <w:shd w:val="clear" w:color="auto" w:fill="C6D9F1" w:themeFill="text2" w:themeFillTint="33"/>
            <w:vAlign w:val="center"/>
          </w:tcPr>
          <w:p w:rsidR="00E67697" w:rsidRPr="005A6793" w:rsidRDefault="00E67697" w:rsidP="002A247A">
            <w:pPr>
              <w:autoSpaceDE w:val="0"/>
              <w:autoSpaceDN w:val="0"/>
              <w:adjustRightInd w:val="0"/>
              <w:jc w:val="center"/>
              <w:rPr>
                <w:b/>
              </w:rPr>
            </w:pPr>
            <w:r w:rsidRPr="005A6793">
              <w:rPr>
                <w:b/>
              </w:rPr>
              <w:t>Pollutant</w:t>
            </w:r>
          </w:p>
        </w:tc>
        <w:tc>
          <w:tcPr>
            <w:tcW w:w="851" w:type="pct"/>
            <w:shd w:val="clear" w:color="auto" w:fill="C6D9F1" w:themeFill="text2" w:themeFillTint="33"/>
            <w:vAlign w:val="center"/>
          </w:tcPr>
          <w:p w:rsidR="00E67697" w:rsidRPr="005A6793" w:rsidRDefault="00E67697" w:rsidP="002A247A">
            <w:pPr>
              <w:autoSpaceDE w:val="0"/>
              <w:autoSpaceDN w:val="0"/>
              <w:adjustRightInd w:val="0"/>
              <w:jc w:val="center"/>
              <w:rPr>
                <w:b/>
              </w:rPr>
            </w:pPr>
            <w:r w:rsidRPr="005A6793">
              <w:rPr>
                <w:b/>
              </w:rPr>
              <w:t>Averaging Time</w:t>
            </w:r>
          </w:p>
        </w:tc>
        <w:tc>
          <w:tcPr>
            <w:tcW w:w="1133" w:type="pct"/>
            <w:shd w:val="clear" w:color="auto" w:fill="C6D9F1" w:themeFill="text2" w:themeFillTint="33"/>
            <w:vAlign w:val="center"/>
          </w:tcPr>
          <w:p w:rsidR="00E67697" w:rsidRPr="005A6793" w:rsidRDefault="00E67697" w:rsidP="002A247A">
            <w:pPr>
              <w:autoSpaceDE w:val="0"/>
              <w:autoSpaceDN w:val="0"/>
              <w:adjustRightInd w:val="0"/>
              <w:jc w:val="center"/>
              <w:rPr>
                <w:b/>
              </w:rPr>
            </w:pPr>
            <w:r w:rsidRPr="005A6793">
              <w:rPr>
                <w:b/>
              </w:rPr>
              <w:t>Max Impact (μg/m</w:t>
            </w:r>
            <w:r w:rsidRPr="005A6793">
              <w:rPr>
                <w:b/>
                <w:vertAlign w:val="superscript"/>
              </w:rPr>
              <w:t>3</w:t>
            </w:r>
            <w:r w:rsidRPr="005A6793">
              <w:rPr>
                <w:b/>
              </w:rPr>
              <w:t>)</w:t>
            </w:r>
          </w:p>
        </w:tc>
        <w:tc>
          <w:tcPr>
            <w:tcW w:w="681" w:type="pct"/>
            <w:shd w:val="clear" w:color="auto" w:fill="C6D9F1" w:themeFill="text2" w:themeFillTint="33"/>
            <w:vAlign w:val="center"/>
          </w:tcPr>
          <w:p w:rsidR="00E67697" w:rsidRPr="005A6793" w:rsidRDefault="00E67697" w:rsidP="002A247A">
            <w:pPr>
              <w:autoSpaceDE w:val="0"/>
              <w:autoSpaceDN w:val="0"/>
              <w:adjustRightInd w:val="0"/>
              <w:jc w:val="center"/>
              <w:rPr>
                <w:b/>
              </w:rPr>
            </w:pPr>
            <w:r w:rsidRPr="005A6793">
              <w:rPr>
                <w:b/>
              </w:rPr>
              <w:t>SIL (μg/m</w:t>
            </w:r>
            <w:r w:rsidRPr="005A6793">
              <w:rPr>
                <w:b/>
                <w:vertAlign w:val="superscript"/>
              </w:rPr>
              <w:t>3</w:t>
            </w:r>
            <w:r w:rsidRPr="005A6793">
              <w:rPr>
                <w:b/>
              </w:rPr>
              <w:t>)</w:t>
            </w:r>
          </w:p>
        </w:tc>
        <w:tc>
          <w:tcPr>
            <w:tcW w:w="862" w:type="pct"/>
            <w:shd w:val="clear" w:color="auto" w:fill="C6D9F1" w:themeFill="text2" w:themeFillTint="33"/>
            <w:vAlign w:val="center"/>
          </w:tcPr>
          <w:p w:rsidR="00E67697" w:rsidRPr="005A6793" w:rsidRDefault="00E67697" w:rsidP="002A247A">
            <w:pPr>
              <w:autoSpaceDE w:val="0"/>
              <w:autoSpaceDN w:val="0"/>
              <w:adjustRightInd w:val="0"/>
              <w:jc w:val="center"/>
              <w:rPr>
                <w:b/>
              </w:rPr>
            </w:pPr>
            <w:r>
              <w:rPr>
                <w:b/>
              </w:rPr>
              <w:t>Percent of SIL</w:t>
            </w:r>
          </w:p>
        </w:tc>
        <w:tc>
          <w:tcPr>
            <w:tcW w:w="966" w:type="pct"/>
            <w:shd w:val="clear" w:color="auto" w:fill="C6D9F1" w:themeFill="text2" w:themeFillTint="33"/>
            <w:vAlign w:val="center"/>
          </w:tcPr>
          <w:p w:rsidR="00E67697" w:rsidRPr="005A6793" w:rsidRDefault="00E67697" w:rsidP="002A247A">
            <w:pPr>
              <w:autoSpaceDE w:val="0"/>
              <w:autoSpaceDN w:val="0"/>
              <w:adjustRightInd w:val="0"/>
              <w:jc w:val="center"/>
              <w:rPr>
                <w:b/>
              </w:rPr>
            </w:pPr>
            <w:r w:rsidRPr="005A6793">
              <w:rPr>
                <w:b/>
              </w:rPr>
              <w:t>Significant Impact?</w:t>
            </w:r>
          </w:p>
        </w:tc>
      </w:tr>
      <w:tr w:rsidR="00E67697" w:rsidRPr="004A2248" w:rsidTr="00C40694">
        <w:trPr>
          <w:cantSplit/>
          <w:trHeight w:val="20"/>
        </w:trPr>
        <w:tc>
          <w:tcPr>
            <w:tcW w:w="507" w:type="pct"/>
            <w:vMerge w:val="restart"/>
            <w:shd w:val="clear" w:color="auto" w:fill="C6D9F1" w:themeFill="text2" w:themeFillTint="33"/>
            <w:vAlign w:val="center"/>
          </w:tcPr>
          <w:p w:rsidR="00E67697" w:rsidRPr="005A6793" w:rsidRDefault="00E67697" w:rsidP="002A247A">
            <w:pPr>
              <w:autoSpaceDE w:val="0"/>
              <w:autoSpaceDN w:val="0"/>
              <w:adjustRightInd w:val="0"/>
              <w:jc w:val="center"/>
              <w:rPr>
                <w:b/>
              </w:rPr>
            </w:pPr>
            <w:r>
              <w:rPr>
                <w:b/>
              </w:rPr>
              <w:t>PM</w:t>
            </w:r>
            <w:r w:rsidRPr="00DC7B30">
              <w:rPr>
                <w:b/>
                <w:vertAlign w:val="subscript"/>
              </w:rPr>
              <w:t>2.5</w:t>
            </w:r>
          </w:p>
        </w:tc>
        <w:tc>
          <w:tcPr>
            <w:tcW w:w="851" w:type="pct"/>
            <w:vAlign w:val="center"/>
          </w:tcPr>
          <w:p w:rsidR="00E67697" w:rsidRPr="005A6793" w:rsidRDefault="00E67697" w:rsidP="002A247A">
            <w:pPr>
              <w:autoSpaceDE w:val="0"/>
              <w:autoSpaceDN w:val="0"/>
              <w:adjustRightInd w:val="0"/>
              <w:spacing w:before="20" w:after="20"/>
              <w:jc w:val="center"/>
            </w:pPr>
            <w:r w:rsidRPr="005A6793">
              <w:t>Annual</w:t>
            </w:r>
          </w:p>
        </w:tc>
        <w:tc>
          <w:tcPr>
            <w:tcW w:w="1133" w:type="pct"/>
            <w:vAlign w:val="center"/>
          </w:tcPr>
          <w:p w:rsidR="00E67697" w:rsidRDefault="00E67697" w:rsidP="002A247A">
            <w:pPr>
              <w:autoSpaceDE w:val="0"/>
              <w:autoSpaceDN w:val="0"/>
              <w:adjustRightInd w:val="0"/>
              <w:spacing w:before="20" w:after="20"/>
              <w:jc w:val="center"/>
            </w:pPr>
            <w:r>
              <w:t>0.0037</w:t>
            </w:r>
          </w:p>
        </w:tc>
        <w:tc>
          <w:tcPr>
            <w:tcW w:w="681" w:type="pct"/>
            <w:vAlign w:val="center"/>
          </w:tcPr>
          <w:p w:rsidR="00E67697" w:rsidRPr="005A6793" w:rsidRDefault="00E67697" w:rsidP="002A247A">
            <w:pPr>
              <w:autoSpaceDE w:val="0"/>
              <w:autoSpaceDN w:val="0"/>
              <w:adjustRightInd w:val="0"/>
              <w:spacing w:before="20" w:after="20"/>
              <w:jc w:val="center"/>
            </w:pPr>
            <w:r>
              <w:t>0.05</w:t>
            </w:r>
          </w:p>
        </w:tc>
        <w:tc>
          <w:tcPr>
            <w:tcW w:w="862" w:type="pct"/>
          </w:tcPr>
          <w:p w:rsidR="00E67697" w:rsidRDefault="00E67697" w:rsidP="002A247A">
            <w:pPr>
              <w:autoSpaceDE w:val="0"/>
              <w:autoSpaceDN w:val="0"/>
              <w:adjustRightInd w:val="0"/>
              <w:spacing w:before="20" w:after="20"/>
              <w:jc w:val="center"/>
            </w:pPr>
            <w:r>
              <w:t>7.4%</w:t>
            </w:r>
          </w:p>
        </w:tc>
        <w:tc>
          <w:tcPr>
            <w:tcW w:w="966" w:type="pct"/>
            <w:vAlign w:val="center"/>
          </w:tcPr>
          <w:p w:rsidR="00E67697" w:rsidRPr="005A6793" w:rsidRDefault="00E67697" w:rsidP="002A247A">
            <w:pPr>
              <w:autoSpaceDE w:val="0"/>
              <w:autoSpaceDN w:val="0"/>
              <w:adjustRightInd w:val="0"/>
              <w:spacing w:before="20" w:after="20"/>
              <w:jc w:val="center"/>
            </w:pPr>
            <w:r>
              <w:t>No</w:t>
            </w:r>
          </w:p>
        </w:tc>
      </w:tr>
      <w:tr w:rsidR="00E67697" w:rsidRPr="004A2248" w:rsidTr="00C40694">
        <w:trPr>
          <w:cantSplit/>
          <w:trHeight w:val="20"/>
        </w:trPr>
        <w:tc>
          <w:tcPr>
            <w:tcW w:w="507" w:type="pct"/>
            <w:vMerge/>
            <w:shd w:val="clear" w:color="auto" w:fill="C6D9F1" w:themeFill="text2" w:themeFillTint="33"/>
          </w:tcPr>
          <w:p w:rsidR="00E67697" w:rsidRDefault="00E67697" w:rsidP="002A247A">
            <w:pPr>
              <w:autoSpaceDE w:val="0"/>
              <w:autoSpaceDN w:val="0"/>
              <w:adjustRightInd w:val="0"/>
              <w:jc w:val="center"/>
              <w:rPr>
                <w:b/>
              </w:rPr>
            </w:pPr>
          </w:p>
        </w:tc>
        <w:tc>
          <w:tcPr>
            <w:tcW w:w="851" w:type="pct"/>
            <w:vAlign w:val="center"/>
          </w:tcPr>
          <w:p w:rsidR="00E67697" w:rsidRPr="005A6793" w:rsidRDefault="00E67697" w:rsidP="002A247A">
            <w:pPr>
              <w:autoSpaceDE w:val="0"/>
              <w:autoSpaceDN w:val="0"/>
              <w:adjustRightInd w:val="0"/>
              <w:spacing w:before="20" w:after="20"/>
              <w:jc w:val="center"/>
            </w:pPr>
            <w:r>
              <w:t>24-Hour</w:t>
            </w:r>
          </w:p>
        </w:tc>
        <w:tc>
          <w:tcPr>
            <w:tcW w:w="1133" w:type="pct"/>
            <w:vAlign w:val="center"/>
          </w:tcPr>
          <w:p w:rsidR="00E67697" w:rsidRDefault="00E67697" w:rsidP="002A247A">
            <w:pPr>
              <w:autoSpaceDE w:val="0"/>
              <w:autoSpaceDN w:val="0"/>
              <w:adjustRightInd w:val="0"/>
              <w:spacing w:before="20" w:after="20"/>
              <w:jc w:val="center"/>
            </w:pPr>
            <w:r>
              <w:t>0.037</w:t>
            </w:r>
          </w:p>
        </w:tc>
        <w:tc>
          <w:tcPr>
            <w:tcW w:w="681" w:type="pct"/>
            <w:vAlign w:val="center"/>
          </w:tcPr>
          <w:p w:rsidR="00E67697" w:rsidRPr="005A6793" w:rsidRDefault="00E67697" w:rsidP="002A247A">
            <w:pPr>
              <w:autoSpaceDE w:val="0"/>
              <w:autoSpaceDN w:val="0"/>
              <w:adjustRightInd w:val="0"/>
              <w:spacing w:before="20" w:after="20"/>
              <w:jc w:val="center"/>
            </w:pPr>
            <w:r>
              <w:t>0.27</w:t>
            </w:r>
          </w:p>
        </w:tc>
        <w:tc>
          <w:tcPr>
            <w:tcW w:w="862" w:type="pct"/>
          </w:tcPr>
          <w:p w:rsidR="00E67697" w:rsidRDefault="00E67697" w:rsidP="002A247A">
            <w:pPr>
              <w:autoSpaceDE w:val="0"/>
              <w:autoSpaceDN w:val="0"/>
              <w:adjustRightInd w:val="0"/>
              <w:spacing w:before="20" w:after="20"/>
              <w:jc w:val="center"/>
            </w:pPr>
            <w:r>
              <w:t>13.7%</w:t>
            </w:r>
          </w:p>
        </w:tc>
        <w:tc>
          <w:tcPr>
            <w:tcW w:w="966" w:type="pct"/>
            <w:vAlign w:val="center"/>
          </w:tcPr>
          <w:p w:rsidR="00E67697" w:rsidRPr="005A6793" w:rsidRDefault="00E67697" w:rsidP="002A247A">
            <w:pPr>
              <w:autoSpaceDE w:val="0"/>
              <w:autoSpaceDN w:val="0"/>
              <w:adjustRightInd w:val="0"/>
              <w:spacing w:before="20" w:after="20"/>
              <w:jc w:val="center"/>
            </w:pPr>
            <w:r>
              <w:t>No</w:t>
            </w:r>
          </w:p>
        </w:tc>
      </w:tr>
      <w:tr w:rsidR="00E67697" w:rsidRPr="004A2248" w:rsidTr="00C40694">
        <w:trPr>
          <w:cantSplit/>
          <w:trHeight w:val="20"/>
        </w:trPr>
        <w:tc>
          <w:tcPr>
            <w:tcW w:w="507" w:type="pct"/>
            <w:vMerge w:val="restart"/>
            <w:shd w:val="clear" w:color="auto" w:fill="C6D9F1" w:themeFill="text2" w:themeFillTint="33"/>
            <w:vAlign w:val="center"/>
          </w:tcPr>
          <w:p w:rsidR="00E67697" w:rsidRDefault="00E67697" w:rsidP="002A247A">
            <w:pPr>
              <w:autoSpaceDE w:val="0"/>
              <w:autoSpaceDN w:val="0"/>
              <w:adjustRightInd w:val="0"/>
              <w:jc w:val="center"/>
              <w:rPr>
                <w:b/>
              </w:rPr>
            </w:pPr>
            <w:r>
              <w:rPr>
                <w:b/>
              </w:rPr>
              <w:t>PM</w:t>
            </w:r>
            <w:r w:rsidRPr="00DC7B30">
              <w:rPr>
                <w:b/>
                <w:vertAlign w:val="subscript"/>
              </w:rPr>
              <w:t>10</w:t>
            </w:r>
          </w:p>
        </w:tc>
        <w:tc>
          <w:tcPr>
            <w:tcW w:w="851" w:type="pct"/>
            <w:vAlign w:val="center"/>
          </w:tcPr>
          <w:p w:rsidR="00E67697" w:rsidRPr="005A6793" w:rsidRDefault="00E67697" w:rsidP="002A247A">
            <w:pPr>
              <w:autoSpaceDE w:val="0"/>
              <w:autoSpaceDN w:val="0"/>
              <w:adjustRightInd w:val="0"/>
              <w:spacing w:before="20" w:after="20"/>
              <w:jc w:val="center"/>
            </w:pPr>
            <w:r>
              <w:t>Annual</w:t>
            </w:r>
          </w:p>
        </w:tc>
        <w:tc>
          <w:tcPr>
            <w:tcW w:w="1133" w:type="pct"/>
            <w:vAlign w:val="center"/>
          </w:tcPr>
          <w:p w:rsidR="00E67697" w:rsidRDefault="00E67697" w:rsidP="002A247A">
            <w:pPr>
              <w:autoSpaceDE w:val="0"/>
              <w:autoSpaceDN w:val="0"/>
              <w:adjustRightInd w:val="0"/>
              <w:spacing w:before="20" w:after="20"/>
              <w:jc w:val="center"/>
            </w:pPr>
            <w:r>
              <w:t>0.0055</w:t>
            </w:r>
          </w:p>
        </w:tc>
        <w:tc>
          <w:tcPr>
            <w:tcW w:w="681" w:type="pct"/>
            <w:vAlign w:val="center"/>
          </w:tcPr>
          <w:p w:rsidR="00E67697" w:rsidRPr="005A6793" w:rsidRDefault="00E67697" w:rsidP="002A247A">
            <w:pPr>
              <w:autoSpaceDE w:val="0"/>
              <w:autoSpaceDN w:val="0"/>
              <w:adjustRightInd w:val="0"/>
              <w:spacing w:before="20" w:after="20"/>
              <w:jc w:val="center"/>
            </w:pPr>
            <w:r>
              <w:t>0.2</w:t>
            </w:r>
          </w:p>
        </w:tc>
        <w:tc>
          <w:tcPr>
            <w:tcW w:w="862" w:type="pct"/>
          </w:tcPr>
          <w:p w:rsidR="00E67697" w:rsidRDefault="00E67697" w:rsidP="002A247A">
            <w:pPr>
              <w:autoSpaceDE w:val="0"/>
              <w:autoSpaceDN w:val="0"/>
              <w:adjustRightInd w:val="0"/>
              <w:spacing w:before="20" w:after="20"/>
              <w:jc w:val="center"/>
            </w:pPr>
            <w:r>
              <w:t>2.8%</w:t>
            </w:r>
          </w:p>
        </w:tc>
        <w:tc>
          <w:tcPr>
            <w:tcW w:w="966" w:type="pct"/>
            <w:vAlign w:val="center"/>
          </w:tcPr>
          <w:p w:rsidR="00E67697" w:rsidRPr="005A6793" w:rsidRDefault="00E67697" w:rsidP="002A247A">
            <w:pPr>
              <w:autoSpaceDE w:val="0"/>
              <w:autoSpaceDN w:val="0"/>
              <w:adjustRightInd w:val="0"/>
              <w:spacing w:before="20" w:after="20"/>
              <w:jc w:val="center"/>
            </w:pPr>
            <w:r>
              <w:t>No</w:t>
            </w:r>
          </w:p>
        </w:tc>
      </w:tr>
      <w:tr w:rsidR="00E67697" w:rsidRPr="004A2248" w:rsidTr="00C40694">
        <w:trPr>
          <w:cantSplit/>
          <w:trHeight w:val="20"/>
        </w:trPr>
        <w:tc>
          <w:tcPr>
            <w:tcW w:w="507" w:type="pct"/>
            <w:vMerge/>
            <w:shd w:val="clear" w:color="auto" w:fill="C6D9F1" w:themeFill="text2" w:themeFillTint="33"/>
          </w:tcPr>
          <w:p w:rsidR="00E67697" w:rsidRDefault="00E67697" w:rsidP="002A247A">
            <w:pPr>
              <w:autoSpaceDE w:val="0"/>
              <w:autoSpaceDN w:val="0"/>
              <w:adjustRightInd w:val="0"/>
              <w:jc w:val="center"/>
              <w:rPr>
                <w:b/>
              </w:rPr>
            </w:pPr>
          </w:p>
        </w:tc>
        <w:tc>
          <w:tcPr>
            <w:tcW w:w="851" w:type="pct"/>
            <w:vAlign w:val="center"/>
          </w:tcPr>
          <w:p w:rsidR="00E67697" w:rsidRPr="005A6793" w:rsidRDefault="00E67697" w:rsidP="002A247A">
            <w:pPr>
              <w:autoSpaceDE w:val="0"/>
              <w:autoSpaceDN w:val="0"/>
              <w:adjustRightInd w:val="0"/>
              <w:spacing w:before="20" w:after="20"/>
              <w:jc w:val="center"/>
            </w:pPr>
            <w:r>
              <w:t>24-Hour</w:t>
            </w:r>
          </w:p>
        </w:tc>
        <w:tc>
          <w:tcPr>
            <w:tcW w:w="1133" w:type="pct"/>
            <w:vAlign w:val="center"/>
          </w:tcPr>
          <w:p w:rsidR="00E67697" w:rsidRDefault="00E67697" w:rsidP="002A247A">
            <w:pPr>
              <w:autoSpaceDE w:val="0"/>
              <w:autoSpaceDN w:val="0"/>
              <w:adjustRightInd w:val="0"/>
              <w:spacing w:before="20" w:after="20"/>
              <w:jc w:val="center"/>
            </w:pPr>
            <w:r>
              <w:t>0.07</w:t>
            </w:r>
          </w:p>
        </w:tc>
        <w:tc>
          <w:tcPr>
            <w:tcW w:w="681" w:type="pct"/>
            <w:vAlign w:val="center"/>
          </w:tcPr>
          <w:p w:rsidR="00E67697" w:rsidRPr="005A6793" w:rsidRDefault="00E67697" w:rsidP="002A247A">
            <w:pPr>
              <w:autoSpaceDE w:val="0"/>
              <w:autoSpaceDN w:val="0"/>
              <w:adjustRightInd w:val="0"/>
              <w:spacing w:before="20" w:after="20"/>
              <w:jc w:val="center"/>
            </w:pPr>
            <w:r>
              <w:t>0.3</w:t>
            </w:r>
          </w:p>
        </w:tc>
        <w:tc>
          <w:tcPr>
            <w:tcW w:w="862" w:type="pct"/>
          </w:tcPr>
          <w:p w:rsidR="00E67697" w:rsidRDefault="00E67697" w:rsidP="002A247A">
            <w:pPr>
              <w:autoSpaceDE w:val="0"/>
              <w:autoSpaceDN w:val="0"/>
              <w:adjustRightInd w:val="0"/>
              <w:spacing w:before="20" w:after="20"/>
              <w:jc w:val="center"/>
            </w:pPr>
            <w:r>
              <w:t>23.3%</w:t>
            </w:r>
          </w:p>
        </w:tc>
        <w:tc>
          <w:tcPr>
            <w:tcW w:w="966" w:type="pct"/>
            <w:vAlign w:val="center"/>
          </w:tcPr>
          <w:p w:rsidR="00E67697" w:rsidRPr="005A6793" w:rsidRDefault="00E67697" w:rsidP="002A247A">
            <w:pPr>
              <w:autoSpaceDE w:val="0"/>
              <w:autoSpaceDN w:val="0"/>
              <w:adjustRightInd w:val="0"/>
              <w:spacing w:before="20" w:after="20"/>
              <w:jc w:val="center"/>
            </w:pPr>
            <w:r>
              <w:t>No</w:t>
            </w:r>
          </w:p>
        </w:tc>
      </w:tr>
    </w:tbl>
    <w:p w:rsidR="002A247A" w:rsidRDefault="002A247A" w:rsidP="002A247A">
      <w:r>
        <w:br w:type="page"/>
      </w:r>
    </w:p>
    <w:p w:rsidR="00AD7B43" w:rsidRPr="002A247A" w:rsidRDefault="00AD7B43" w:rsidP="002A247A">
      <w:pPr>
        <w:pStyle w:val="ListParagraph"/>
        <w:widowControl w:val="0"/>
        <w:numPr>
          <w:ilvl w:val="2"/>
          <w:numId w:val="15"/>
        </w:numPr>
        <w:spacing w:before="120" w:after="120"/>
        <w:ind w:left="720" w:hanging="720"/>
        <w:contextualSpacing w:val="0"/>
        <w:jc w:val="both"/>
        <w:rPr>
          <w:sz w:val="22"/>
          <w:szCs w:val="22"/>
          <w:u w:val="single"/>
        </w:rPr>
      </w:pPr>
      <w:r w:rsidRPr="002A247A">
        <w:rPr>
          <w:sz w:val="22"/>
          <w:szCs w:val="22"/>
          <w:u w:val="single"/>
        </w:rPr>
        <w:lastRenderedPageBreak/>
        <w:t>Ozone Analysis</w:t>
      </w:r>
    </w:p>
    <w:p w:rsidR="00AD7B43" w:rsidRPr="00AD7B43" w:rsidRDefault="005439C7" w:rsidP="005439C7">
      <w:pPr>
        <w:spacing w:after="120"/>
        <w:rPr>
          <w:sz w:val="22"/>
          <w:szCs w:val="22"/>
        </w:rPr>
      </w:pPr>
      <w:r>
        <w:rPr>
          <w:sz w:val="22"/>
          <w:szCs w:val="22"/>
        </w:rPr>
        <w:t xml:space="preserve">The Department is updating the ozone analysis in this evaluation to account for the current NAAQS for ozone, which decreased since the original evaluation.  </w:t>
      </w:r>
      <w:r w:rsidR="00AD7B43" w:rsidRPr="00AD7B43">
        <w:rPr>
          <w:sz w:val="22"/>
          <w:szCs w:val="22"/>
        </w:rPr>
        <w:t>Projects with VOC or NO</w:t>
      </w:r>
      <w:r w:rsidR="00AD7B43" w:rsidRPr="00AD7B43">
        <w:rPr>
          <w:sz w:val="22"/>
          <w:szCs w:val="22"/>
          <w:vertAlign w:val="subscript"/>
        </w:rPr>
        <w:t>X</w:t>
      </w:r>
      <w:r w:rsidR="00AD7B43" w:rsidRPr="00AD7B43">
        <w:rPr>
          <w:sz w:val="22"/>
          <w:szCs w:val="22"/>
        </w:rPr>
        <w:t xml:space="preserve"> potential emissions increases of 40 TPY or greater are required to perform a source impact analysis for ozone. </w:t>
      </w:r>
      <w:r>
        <w:rPr>
          <w:sz w:val="22"/>
          <w:szCs w:val="22"/>
        </w:rPr>
        <w:t>The</w:t>
      </w:r>
      <w:r w:rsidR="00AD7B43" w:rsidRPr="00AD7B43">
        <w:rPr>
          <w:sz w:val="22"/>
          <w:szCs w:val="22"/>
        </w:rPr>
        <w:t xml:space="preserve"> applicant estimated maximum annual potential NO</w:t>
      </w:r>
      <w:r w:rsidR="00AD7B43" w:rsidRPr="00AD7B43">
        <w:rPr>
          <w:sz w:val="22"/>
          <w:szCs w:val="22"/>
          <w:vertAlign w:val="subscript"/>
        </w:rPr>
        <w:t>X</w:t>
      </w:r>
      <w:r w:rsidR="00AD7B43" w:rsidRPr="00AD7B43">
        <w:rPr>
          <w:sz w:val="22"/>
          <w:szCs w:val="22"/>
        </w:rPr>
        <w:t xml:space="preserve"> </w:t>
      </w:r>
      <w:r w:rsidR="00AD7B43">
        <w:rPr>
          <w:sz w:val="22"/>
          <w:szCs w:val="22"/>
        </w:rPr>
        <w:t xml:space="preserve">and VOC </w:t>
      </w:r>
      <w:r w:rsidR="00AD7B43" w:rsidRPr="00AD7B43">
        <w:rPr>
          <w:sz w:val="22"/>
          <w:szCs w:val="22"/>
        </w:rPr>
        <w:t xml:space="preserve">emissions from the project to be </w:t>
      </w:r>
      <w:r w:rsidR="00AD7B43">
        <w:rPr>
          <w:sz w:val="22"/>
          <w:szCs w:val="22"/>
        </w:rPr>
        <w:t>194.2</w:t>
      </w:r>
      <w:r w:rsidR="00AD7B43" w:rsidRPr="00AD7B43">
        <w:rPr>
          <w:sz w:val="22"/>
          <w:szCs w:val="22"/>
        </w:rPr>
        <w:t xml:space="preserve"> TPY</w:t>
      </w:r>
      <w:r w:rsidR="00AD7B43">
        <w:rPr>
          <w:sz w:val="22"/>
          <w:szCs w:val="22"/>
        </w:rPr>
        <w:t xml:space="preserve"> and 136.6 TPY, respectively,</w:t>
      </w:r>
      <w:r w:rsidR="00AD7B43" w:rsidRPr="00AD7B43">
        <w:rPr>
          <w:sz w:val="22"/>
          <w:szCs w:val="22"/>
        </w:rPr>
        <w:t xml:space="preserve"> and is therefore required to provide an analysis for ozone; however, ozone site-specific modeling is not typically completed for single source permitting because of its complexity involving computationally intensive models such as the Community Model for Air Quality (CMAQ) and the Weather Research and Forecasting Model (WRF). </w:t>
      </w:r>
    </w:p>
    <w:p w:rsidR="00AD7B43" w:rsidRPr="00AD7B43" w:rsidRDefault="00AD7B43" w:rsidP="00AD7B43">
      <w:pPr>
        <w:widowControl w:val="0"/>
        <w:spacing w:after="120"/>
        <w:rPr>
          <w:sz w:val="22"/>
          <w:szCs w:val="22"/>
        </w:rPr>
      </w:pPr>
      <w:r w:rsidRPr="00AD7B43">
        <w:rPr>
          <w:sz w:val="22"/>
          <w:szCs w:val="22"/>
        </w:rPr>
        <w:t>Ozone is a secondarily formed pollutant that is known to be caused by the regional emissions of VOC and NO</w:t>
      </w:r>
      <w:r w:rsidRPr="00AD7B43">
        <w:rPr>
          <w:sz w:val="22"/>
          <w:szCs w:val="22"/>
          <w:vertAlign w:val="subscript"/>
        </w:rPr>
        <w:t>X</w:t>
      </w:r>
      <w:r w:rsidRPr="00AD7B43">
        <w:rPr>
          <w:sz w:val="22"/>
          <w:szCs w:val="22"/>
        </w:rPr>
        <w:t xml:space="preserve"> in combination with certain meteorological conditions (temperature, humidity, solar insolation, etc.). Ambient ozone levels in </w:t>
      </w:r>
      <w:r>
        <w:rPr>
          <w:sz w:val="22"/>
          <w:szCs w:val="22"/>
        </w:rPr>
        <w:t>Highlands</w:t>
      </w:r>
      <w:r w:rsidRPr="00AD7B43">
        <w:rPr>
          <w:sz w:val="22"/>
          <w:szCs w:val="22"/>
        </w:rPr>
        <w:t xml:space="preserve"> County, as inferred from </w:t>
      </w:r>
      <w:r>
        <w:rPr>
          <w:sz w:val="22"/>
          <w:szCs w:val="22"/>
        </w:rPr>
        <w:t>a</w:t>
      </w:r>
      <w:r w:rsidRPr="00AD7B43">
        <w:rPr>
          <w:sz w:val="22"/>
          <w:szCs w:val="22"/>
        </w:rPr>
        <w:t xml:space="preserve"> monitor located approximately </w:t>
      </w:r>
      <w:r>
        <w:rPr>
          <w:sz w:val="22"/>
          <w:szCs w:val="22"/>
        </w:rPr>
        <w:t>2</w:t>
      </w:r>
      <w:r w:rsidRPr="00AD7B43">
        <w:rPr>
          <w:sz w:val="22"/>
          <w:szCs w:val="22"/>
        </w:rPr>
        <w:t xml:space="preserve"> km </w:t>
      </w:r>
      <w:r>
        <w:rPr>
          <w:sz w:val="22"/>
          <w:szCs w:val="22"/>
        </w:rPr>
        <w:t>south</w:t>
      </w:r>
      <w:r w:rsidRPr="00AD7B43">
        <w:rPr>
          <w:sz w:val="22"/>
          <w:szCs w:val="22"/>
        </w:rPr>
        <w:t xml:space="preserve"> of the project site (6</w:t>
      </w:r>
      <w:r>
        <w:rPr>
          <w:sz w:val="22"/>
          <w:szCs w:val="22"/>
        </w:rPr>
        <w:t>0</w:t>
      </w:r>
      <w:r w:rsidRPr="00AD7B43">
        <w:rPr>
          <w:sz w:val="22"/>
          <w:szCs w:val="22"/>
        </w:rPr>
        <w:t xml:space="preserve"> ppb), are well within attainment of the recently promulgated 70 ppb 2015 ozone NAAQS. </w:t>
      </w:r>
      <w:r>
        <w:rPr>
          <w:sz w:val="22"/>
          <w:szCs w:val="22"/>
        </w:rPr>
        <w:t>As</w:t>
      </w:r>
      <w:r w:rsidRPr="00AD7B43">
        <w:rPr>
          <w:sz w:val="22"/>
          <w:szCs w:val="22"/>
        </w:rPr>
        <w:t xml:space="preserve"> shown in </w:t>
      </w:r>
      <w:r w:rsidR="00E67697" w:rsidRPr="00E67697">
        <w:rPr>
          <w:b/>
          <w:sz w:val="22"/>
          <w:szCs w:val="22"/>
        </w:rPr>
        <w:fldChar w:fldCharType="begin"/>
      </w:r>
      <w:r w:rsidR="00E67697" w:rsidRPr="00E67697">
        <w:rPr>
          <w:b/>
          <w:sz w:val="22"/>
          <w:szCs w:val="22"/>
        </w:rPr>
        <w:instrText xml:space="preserve"> REF _Ref485810023 \h  \* MERGEFORMAT </w:instrText>
      </w:r>
      <w:r w:rsidR="00E67697" w:rsidRPr="00E67697">
        <w:rPr>
          <w:b/>
          <w:sz w:val="22"/>
          <w:szCs w:val="22"/>
        </w:rPr>
      </w:r>
      <w:r w:rsidR="00E67697" w:rsidRPr="00E67697">
        <w:rPr>
          <w:b/>
          <w:sz w:val="22"/>
          <w:szCs w:val="22"/>
        </w:rPr>
        <w:fldChar w:fldCharType="separate"/>
      </w:r>
      <w:r w:rsidR="005A4C55" w:rsidRPr="005A4C55">
        <w:rPr>
          <w:b/>
          <w:sz w:val="22"/>
          <w:szCs w:val="22"/>
        </w:rPr>
        <w:t xml:space="preserve">Figure </w:t>
      </w:r>
      <w:r w:rsidR="005A4C55" w:rsidRPr="005A4C55">
        <w:rPr>
          <w:b/>
          <w:noProof/>
          <w:sz w:val="22"/>
          <w:szCs w:val="22"/>
        </w:rPr>
        <w:t>13</w:t>
      </w:r>
      <w:r w:rsidR="00E67697" w:rsidRPr="00E67697">
        <w:rPr>
          <w:b/>
          <w:sz w:val="22"/>
          <w:szCs w:val="22"/>
        </w:rPr>
        <w:fldChar w:fldCharType="end"/>
      </w:r>
      <w:r w:rsidRPr="00AD7B43">
        <w:rPr>
          <w:sz w:val="22"/>
          <w:szCs w:val="22"/>
        </w:rPr>
        <w:t>, actual emissions of the ozone precursor</w:t>
      </w:r>
      <w:r>
        <w:rPr>
          <w:sz w:val="22"/>
          <w:szCs w:val="22"/>
        </w:rPr>
        <w:t>s</w:t>
      </w:r>
      <w:r w:rsidRPr="00AD7B43">
        <w:rPr>
          <w:sz w:val="22"/>
          <w:szCs w:val="22"/>
        </w:rPr>
        <w:t xml:space="preserve"> NO</w:t>
      </w:r>
      <w:r w:rsidRPr="00AD7B43">
        <w:rPr>
          <w:sz w:val="22"/>
          <w:szCs w:val="22"/>
          <w:vertAlign w:val="subscript"/>
        </w:rPr>
        <w:t>X</w:t>
      </w:r>
      <w:r w:rsidRPr="00AD7B43">
        <w:rPr>
          <w:sz w:val="22"/>
          <w:szCs w:val="22"/>
        </w:rPr>
        <w:t xml:space="preserve"> </w:t>
      </w:r>
      <w:r>
        <w:rPr>
          <w:sz w:val="22"/>
          <w:szCs w:val="22"/>
        </w:rPr>
        <w:t xml:space="preserve">and VOC </w:t>
      </w:r>
      <w:r w:rsidRPr="00AD7B43">
        <w:rPr>
          <w:sz w:val="22"/>
          <w:szCs w:val="22"/>
        </w:rPr>
        <w:t>have declined dramatically over the past ten years despite significant increases in population. These reductions are far greater than the increase in NO</w:t>
      </w:r>
      <w:r w:rsidRPr="00AD7B43">
        <w:rPr>
          <w:sz w:val="22"/>
          <w:szCs w:val="22"/>
          <w:vertAlign w:val="subscript"/>
        </w:rPr>
        <w:t>X</w:t>
      </w:r>
      <w:r w:rsidRPr="00AD7B43">
        <w:rPr>
          <w:sz w:val="22"/>
          <w:szCs w:val="22"/>
        </w:rPr>
        <w:t xml:space="preserve"> </w:t>
      </w:r>
      <w:r>
        <w:rPr>
          <w:sz w:val="22"/>
          <w:szCs w:val="22"/>
        </w:rPr>
        <w:t xml:space="preserve">and VOC </w:t>
      </w:r>
      <w:r w:rsidRPr="00AD7B43">
        <w:rPr>
          <w:sz w:val="22"/>
          <w:szCs w:val="22"/>
        </w:rPr>
        <w:t>emissions from this project. Ambient levels of ozone have also decreased over the last 15 years (</w:t>
      </w:r>
      <w:r w:rsidR="00E67697" w:rsidRPr="00E67697">
        <w:rPr>
          <w:b/>
          <w:sz w:val="22"/>
          <w:szCs w:val="22"/>
        </w:rPr>
        <w:fldChar w:fldCharType="begin"/>
      </w:r>
      <w:r w:rsidR="00E67697" w:rsidRPr="00E67697">
        <w:rPr>
          <w:b/>
          <w:sz w:val="22"/>
          <w:szCs w:val="22"/>
        </w:rPr>
        <w:instrText xml:space="preserve"> REF _Ref485810106 \h  \* MERGEFORMAT </w:instrText>
      </w:r>
      <w:r w:rsidR="00E67697" w:rsidRPr="00E67697">
        <w:rPr>
          <w:b/>
          <w:sz w:val="22"/>
          <w:szCs w:val="22"/>
        </w:rPr>
      </w:r>
      <w:r w:rsidR="00E67697" w:rsidRPr="00E67697">
        <w:rPr>
          <w:b/>
          <w:sz w:val="22"/>
          <w:szCs w:val="22"/>
        </w:rPr>
        <w:fldChar w:fldCharType="separate"/>
      </w:r>
      <w:r w:rsidR="005A4C55" w:rsidRPr="005A4C55">
        <w:rPr>
          <w:b/>
          <w:sz w:val="22"/>
          <w:szCs w:val="22"/>
        </w:rPr>
        <w:t>Figure</w:t>
      </w:r>
      <w:r w:rsidR="005A4C55" w:rsidRPr="005A4C55">
        <w:rPr>
          <w:b/>
          <w:caps/>
          <w:sz w:val="22"/>
          <w:szCs w:val="22"/>
        </w:rPr>
        <w:t xml:space="preserve"> </w:t>
      </w:r>
      <w:r w:rsidR="005A4C55" w:rsidRPr="005A4C55">
        <w:rPr>
          <w:b/>
          <w:noProof/>
          <w:sz w:val="22"/>
          <w:szCs w:val="22"/>
        </w:rPr>
        <w:t>14</w:t>
      </w:r>
      <w:r w:rsidR="00E67697" w:rsidRPr="00E67697">
        <w:rPr>
          <w:b/>
          <w:sz w:val="22"/>
          <w:szCs w:val="22"/>
        </w:rPr>
        <w:fldChar w:fldCharType="end"/>
      </w:r>
      <w:r w:rsidRPr="00AD7B43">
        <w:rPr>
          <w:sz w:val="22"/>
          <w:szCs w:val="22"/>
        </w:rPr>
        <w:t>) due to improvements in motor vehicle emissions rates and the implementation of national rules such as the Clean Air Interstate Rule (CAIR)</w:t>
      </w:r>
      <w:r>
        <w:rPr>
          <w:sz w:val="22"/>
          <w:szCs w:val="22"/>
        </w:rPr>
        <w:t>,</w:t>
      </w:r>
      <w:r w:rsidRPr="00AD7B43">
        <w:rPr>
          <w:sz w:val="22"/>
          <w:szCs w:val="22"/>
        </w:rPr>
        <w:t xml:space="preserve"> and continued reductions in both average motor vehicle fleet emissions and stationary source emissions are expected to further improve ozone air quality. </w:t>
      </w:r>
    </w:p>
    <w:p w:rsidR="00AD7B43" w:rsidRDefault="00AD7B43" w:rsidP="00AD7B43">
      <w:pPr>
        <w:widowControl w:val="0"/>
        <w:spacing w:after="120"/>
        <w:rPr>
          <w:sz w:val="22"/>
          <w:szCs w:val="22"/>
        </w:rPr>
      </w:pPr>
      <w:r w:rsidRPr="00AD7B43">
        <w:rPr>
          <w:sz w:val="22"/>
          <w:szCs w:val="22"/>
        </w:rPr>
        <w:t>For these reasons, DEP has reasonable assurance that the project will not significantly contribute to or cause any violation of the ozone NAAQS.</w:t>
      </w:r>
    </w:p>
    <w:p w:rsidR="00E67697" w:rsidRDefault="00041969" w:rsidP="002A247A">
      <w:pPr>
        <w:widowControl w:val="0"/>
        <w:spacing w:after="120"/>
      </w:pPr>
      <w:r>
        <w:rPr>
          <w:noProof/>
          <w:sz w:val="22"/>
          <w:szCs w:val="22"/>
        </w:rPr>
        <w:drawing>
          <wp:inline distT="0" distB="0" distL="0" distR="0" wp14:anchorId="6970701B">
            <wp:extent cx="6257001" cy="39814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65924" cy="3987128"/>
                    </a:xfrm>
                    <a:prstGeom prst="rect">
                      <a:avLst/>
                    </a:prstGeom>
                    <a:noFill/>
                  </pic:spPr>
                </pic:pic>
              </a:graphicData>
            </a:graphic>
          </wp:inline>
        </w:drawing>
      </w:r>
    </w:p>
    <w:p w:rsidR="00AD7B43" w:rsidRDefault="00E67697" w:rsidP="00356BFE">
      <w:pPr>
        <w:pStyle w:val="Caption"/>
        <w:spacing w:before="120"/>
        <w:jc w:val="center"/>
        <w:rPr>
          <w:szCs w:val="22"/>
        </w:rPr>
      </w:pPr>
      <w:bookmarkStart w:id="32" w:name="_Ref485810023"/>
      <w:r>
        <w:rPr>
          <w:caps w:val="0"/>
        </w:rPr>
        <w:t xml:space="preserve">Figure </w:t>
      </w:r>
      <w:fldSimple w:instr=" SEQ Figure \* ARABIC ">
        <w:r w:rsidR="005A4C55">
          <w:rPr>
            <w:noProof/>
          </w:rPr>
          <w:t>13</w:t>
        </w:r>
      </w:fldSimple>
      <w:bookmarkEnd w:id="32"/>
      <w:r>
        <w:rPr>
          <w:caps w:val="0"/>
        </w:rPr>
        <w:t>.  Annual emissions of NO</w:t>
      </w:r>
      <w:r w:rsidRPr="005439C7">
        <w:rPr>
          <w:caps w:val="0"/>
          <w:vertAlign w:val="subscript"/>
        </w:rPr>
        <w:t>X</w:t>
      </w:r>
      <w:r>
        <w:rPr>
          <w:caps w:val="0"/>
        </w:rPr>
        <w:t xml:space="preserve"> and VOC from stationary sources (actual) and mobile sources (estimated from MOVES2014a) in Florida from 2000 to 2015</w:t>
      </w:r>
      <w:r>
        <w:t>.</w:t>
      </w:r>
    </w:p>
    <w:p w:rsidR="00E67697" w:rsidRDefault="00E67697" w:rsidP="002A247A">
      <w:pPr>
        <w:widowControl w:val="0"/>
        <w:spacing w:after="120"/>
      </w:pPr>
      <w:r>
        <w:rPr>
          <w:noProof/>
          <w:sz w:val="22"/>
          <w:szCs w:val="22"/>
        </w:rPr>
        <w:lastRenderedPageBreak/>
        <w:drawing>
          <wp:inline distT="0" distB="0" distL="0" distR="0" wp14:anchorId="7AC1F124">
            <wp:extent cx="6273835" cy="429577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84304" cy="4302943"/>
                    </a:xfrm>
                    <a:prstGeom prst="rect">
                      <a:avLst/>
                    </a:prstGeom>
                    <a:noFill/>
                  </pic:spPr>
                </pic:pic>
              </a:graphicData>
            </a:graphic>
          </wp:inline>
        </w:drawing>
      </w:r>
    </w:p>
    <w:p w:rsidR="00AD7B43" w:rsidRDefault="00E67697" w:rsidP="00356BFE">
      <w:pPr>
        <w:pStyle w:val="Caption"/>
        <w:spacing w:before="120"/>
        <w:jc w:val="center"/>
        <w:rPr>
          <w:szCs w:val="22"/>
        </w:rPr>
      </w:pPr>
      <w:bookmarkStart w:id="33" w:name="_Ref485810106"/>
      <w:r>
        <w:rPr>
          <w:caps w:val="0"/>
        </w:rPr>
        <w:t xml:space="preserve">Figure </w:t>
      </w:r>
      <w:fldSimple w:instr=" SEQ Figure \* ARABIC ">
        <w:r w:rsidR="005A4C55">
          <w:rPr>
            <w:noProof/>
          </w:rPr>
          <w:t>14</w:t>
        </w:r>
      </w:fldSimple>
      <w:bookmarkEnd w:id="33"/>
      <w:r>
        <w:rPr>
          <w:caps w:val="0"/>
        </w:rPr>
        <w:t>. Florida monitored ambient ozone concentration trend 2001-2016.</w:t>
      </w:r>
    </w:p>
    <w:p w:rsidR="007A792F" w:rsidRPr="00BD5DDA" w:rsidRDefault="007A792F" w:rsidP="002A247A">
      <w:pPr>
        <w:pStyle w:val="ListParagraph"/>
        <w:widowControl w:val="0"/>
        <w:numPr>
          <w:ilvl w:val="1"/>
          <w:numId w:val="15"/>
        </w:numPr>
        <w:spacing w:before="120" w:after="120"/>
        <w:ind w:left="720" w:hanging="720"/>
        <w:contextualSpacing w:val="0"/>
        <w:rPr>
          <w:b/>
          <w:sz w:val="22"/>
          <w:szCs w:val="22"/>
        </w:rPr>
      </w:pPr>
      <w:r w:rsidRPr="00BD5DDA">
        <w:rPr>
          <w:b/>
          <w:sz w:val="22"/>
          <w:szCs w:val="22"/>
        </w:rPr>
        <w:t>Additional Impacts Analysis</w:t>
      </w:r>
    </w:p>
    <w:p w:rsidR="007A792F" w:rsidRPr="007277DF" w:rsidRDefault="007A792F" w:rsidP="002A247A">
      <w:pPr>
        <w:widowControl w:val="0"/>
        <w:spacing w:before="120" w:after="120"/>
        <w:rPr>
          <w:sz w:val="22"/>
          <w:szCs w:val="22"/>
        </w:rPr>
      </w:pPr>
      <w:r>
        <w:rPr>
          <w:sz w:val="22"/>
          <w:szCs w:val="22"/>
        </w:rPr>
        <w:t>The applicant is required by Rule 62-212.400(8), F.A.C. to provide an analysis of the project’s potential impacts on visibility, soils, vegetation, and wildlife due to the proposed project or any general commercial residential, or industrial growth associated with the project.</w:t>
      </w:r>
    </w:p>
    <w:p w:rsidR="007A792F" w:rsidRPr="002A247A" w:rsidRDefault="007A792F" w:rsidP="002A247A">
      <w:pPr>
        <w:pStyle w:val="ListParagraph"/>
        <w:widowControl w:val="0"/>
        <w:numPr>
          <w:ilvl w:val="2"/>
          <w:numId w:val="15"/>
        </w:numPr>
        <w:spacing w:after="120"/>
        <w:ind w:left="720" w:hanging="720"/>
        <w:jc w:val="both"/>
        <w:rPr>
          <w:sz w:val="22"/>
          <w:szCs w:val="22"/>
          <w:u w:val="single"/>
        </w:rPr>
      </w:pPr>
      <w:r w:rsidRPr="002A247A">
        <w:rPr>
          <w:sz w:val="22"/>
          <w:szCs w:val="22"/>
          <w:u w:val="single"/>
        </w:rPr>
        <w:t>Growth</w:t>
      </w:r>
    </w:p>
    <w:p w:rsidR="007A792F" w:rsidRPr="007277DF" w:rsidRDefault="007A792F" w:rsidP="002A247A">
      <w:pPr>
        <w:widowControl w:val="0"/>
        <w:spacing w:after="120"/>
        <w:rPr>
          <w:sz w:val="22"/>
          <w:szCs w:val="22"/>
        </w:rPr>
      </w:pPr>
      <w:r>
        <w:rPr>
          <w:sz w:val="22"/>
          <w:szCs w:val="22"/>
        </w:rPr>
        <w:t xml:space="preserve">The </w:t>
      </w:r>
      <w:proofErr w:type="gramStart"/>
      <w:r>
        <w:rPr>
          <w:sz w:val="22"/>
          <w:szCs w:val="22"/>
        </w:rPr>
        <w:t>12-18 month</w:t>
      </w:r>
      <w:proofErr w:type="gramEnd"/>
      <w:r>
        <w:rPr>
          <w:sz w:val="22"/>
          <w:szCs w:val="22"/>
        </w:rPr>
        <w:t xml:space="preserve"> construction phase of this project will require approximately 500 to 1,000 workers during that time, with many workers commuting to the site. Once construction is complete, about 60 permanent personnel will remain. This is a small fraction of the population in the area and no air quality impacts are expected from the small increase in vehicular traffic.  Operation of the facility is not expected to result in any commercial or industrial growth in the area because existing commercial and industrial infrastructure is more than sufficient to meet the needs of the facility.</w:t>
      </w:r>
    </w:p>
    <w:p w:rsidR="007A792F" w:rsidRPr="002A247A" w:rsidRDefault="007A792F" w:rsidP="002A247A">
      <w:pPr>
        <w:pStyle w:val="ListParagraph"/>
        <w:widowControl w:val="0"/>
        <w:numPr>
          <w:ilvl w:val="2"/>
          <w:numId w:val="15"/>
        </w:numPr>
        <w:spacing w:after="120"/>
        <w:ind w:left="720" w:hanging="720"/>
        <w:jc w:val="both"/>
        <w:rPr>
          <w:sz w:val="22"/>
          <w:szCs w:val="22"/>
          <w:u w:val="single"/>
        </w:rPr>
      </w:pPr>
      <w:r w:rsidRPr="002A247A">
        <w:rPr>
          <w:sz w:val="22"/>
          <w:szCs w:val="22"/>
          <w:u w:val="single"/>
        </w:rPr>
        <w:t>Soils, Vegetation, and Wildlife</w:t>
      </w:r>
    </w:p>
    <w:p w:rsidR="007A792F" w:rsidRPr="007277DF" w:rsidRDefault="007A792F" w:rsidP="002A247A">
      <w:pPr>
        <w:widowControl w:val="0"/>
        <w:spacing w:after="120"/>
        <w:rPr>
          <w:sz w:val="22"/>
          <w:szCs w:val="22"/>
        </w:rPr>
      </w:pPr>
      <w:r>
        <w:rPr>
          <w:sz w:val="22"/>
          <w:szCs w:val="22"/>
        </w:rPr>
        <w:t>Emissions of pollutants have the potential to negatively affect soils, vegetation and wildlife near sources.  The project’s maximum predicted air quality impacts are less than the NAAQS which were established to protect both public health and welfare.  In addition, secondary NAAQS have been set to protect against visibility impairment and damage to animals, crops, vegetation, and buildings.  All ambient air quality impacts from the project have been predicted to remain well below the applicable secondary NAAQS and therefore the impact on soils, vegetation, and wildlife is expected to be negligible.</w:t>
      </w:r>
    </w:p>
    <w:p w:rsidR="007A792F" w:rsidRPr="002A247A" w:rsidRDefault="007A792F" w:rsidP="002A247A">
      <w:pPr>
        <w:pStyle w:val="ListParagraph"/>
        <w:widowControl w:val="0"/>
        <w:numPr>
          <w:ilvl w:val="2"/>
          <w:numId w:val="15"/>
        </w:numPr>
        <w:spacing w:after="120"/>
        <w:ind w:left="720" w:hanging="720"/>
        <w:rPr>
          <w:sz w:val="22"/>
          <w:szCs w:val="22"/>
          <w:u w:val="single"/>
        </w:rPr>
      </w:pPr>
      <w:r w:rsidRPr="002A247A">
        <w:rPr>
          <w:sz w:val="22"/>
          <w:szCs w:val="22"/>
          <w:u w:val="single"/>
        </w:rPr>
        <w:t>Class I AQRV</w:t>
      </w:r>
    </w:p>
    <w:p w:rsidR="007A792F" w:rsidRDefault="007A792F" w:rsidP="002B022D">
      <w:pPr>
        <w:widowControl w:val="0"/>
        <w:spacing w:after="120"/>
        <w:rPr>
          <w:sz w:val="22"/>
          <w:szCs w:val="22"/>
        </w:rPr>
      </w:pPr>
      <w:r>
        <w:rPr>
          <w:sz w:val="22"/>
          <w:szCs w:val="22"/>
        </w:rPr>
        <w:t xml:space="preserve">The Federal Land Manager (FLM) for every Class I area that may be affected by a source is charged with </w:t>
      </w:r>
      <w:r>
        <w:rPr>
          <w:sz w:val="22"/>
          <w:szCs w:val="22"/>
        </w:rPr>
        <w:lastRenderedPageBreak/>
        <w:t>protecting all air quality related values (AQRV), including visibility and deposition, in that area.  An AQRV analysis is generally required for all PSD projects and the applicant completed such an analysis for this project.</w:t>
      </w:r>
    </w:p>
    <w:p w:rsidR="007A792F" w:rsidRPr="002A6823" w:rsidRDefault="007A792F" w:rsidP="002B022D">
      <w:pPr>
        <w:widowControl w:val="0"/>
        <w:spacing w:after="120"/>
        <w:rPr>
          <w:sz w:val="22"/>
          <w:szCs w:val="22"/>
        </w:rPr>
      </w:pPr>
      <w:r>
        <w:rPr>
          <w:sz w:val="22"/>
          <w:szCs w:val="22"/>
        </w:rPr>
        <w:t>An initial screening analysis was performed following FLAG 2010 guidance to determine if there could be any significant impacts in Class I areas.  The analysis calculates the Q/D ratio, where Q is potential project emissions in TPY of SO</w:t>
      </w:r>
      <w:r w:rsidRPr="00621A4A">
        <w:rPr>
          <w:sz w:val="22"/>
          <w:szCs w:val="22"/>
          <w:vertAlign w:val="subscript"/>
        </w:rPr>
        <w:t>2</w:t>
      </w:r>
      <w:r>
        <w:rPr>
          <w:sz w:val="22"/>
          <w:szCs w:val="22"/>
        </w:rPr>
        <w:t>, NO</w:t>
      </w:r>
      <w:r w:rsidRPr="00621A4A">
        <w:rPr>
          <w:sz w:val="22"/>
          <w:szCs w:val="22"/>
          <w:vertAlign w:val="subscript"/>
        </w:rPr>
        <w:t>2</w:t>
      </w:r>
      <w:r>
        <w:rPr>
          <w:sz w:val="22"/>
          <w:szCs w:val="22"/>
        </w:rPr>
        <w:t xml:space="preserve">, particulate matter, and </w:t>
      </w:r>
      <w:r w:rsidRPr="00DC7B30">
        <w:rPr>
          <w:sz w:val="22"/>
          <w:szCs w:val="22"/>
        </w:rPr>
        <w:t xml:space="preserve">sulfuric acid mist, and D is the distance in kilometers to the Class I area.  For sources with a Q/D ratio of 10 or less, no further AQRV analysis is required.  To be conservative, the AQRV screening analysis </w:t>
      </w:r>
      <w:r>
        <w:rPr>
          <w:sz w:val="22"/>
          <w:szCs w:val="22"/>
        </w:rPr>
        <w:t xml:space="preserve">for the project </w:t>
      </w:r>
      <w:r w:rsidRPr="00DC7B30">
        <w:rPr>
          <w:sz w:val="22"/>
          <w:szCs w:val="22"/>
        </w:rPr>
        <w:t>takes into account the NO</w:t>
      </w:r>
      <w:r w:rsidRPr="00DC7B30">
        <w:rPr>
          <w:sz w:val="22"/>
          <w:szCs w:val="22"/>
          <w:vertAlign w:val="subscript"/>
        </w:rPr>
        <w:t>X</w:t>
      </w:r>
      <w:r w:rsidRPr="00DC7B30">
        <w:rPr>
          <w:sz w:val="22"/>
          <w:szCs w:val="22"/>
        </w:rPr>
        <w:t>, SO</w:t>
      </w:r>
      <w:r w:rsidRPr="00DC7B30">
        <w:rPr>
          <w:sz w:val="22"/>
          <w:szCs w:val="22"/>
          <w:vertAlign w:val="subscript"/>
        </w:rPr>
        <w:t>2</w:t>
      </w:r>
      <w:r w:rsidRPr="00DC7B30">
        <w:rPr>
          <w:sz w:val="22"/>
          <w:szCs w:val="22"/>
        </w:rPr>
        <w:t>, and sulfuric acid mist (SAM) emissions from the original application in addition to the updated PM</w:t>
      </w:r>
      <w:r w:rsidRPr="00DC7B30">
        <w:rPr>
          <w:sz w:val="22"/>
          <w:szCs w:val="22"/>
          <w:vertAlign w:val="subscript"/>
        </w:rPr>
        <w:t>10</w:t>
      </w:r>
      <w:r w:rsidRPr="00DC7B30">
        <w:rPr>
          <w:sz w:val="22"/>
          <w:szCs w:val="22"/>
        </w:rPr>
        <w:t xml:space="preserve"> emissions from the new application.  As seen in</w:t>
      </w:r>
      <w:r>
        <w:rPr>
          <w:sz w:val="22"/>
          <w:szCs w:val="22"/>
        </w:rPr>
        <w:t xml:space="preserve"> </w:t>
      </w:r>
      <w:r w:rsidRPr="002A6823">
        <w:rPr>
          <w:b/>
          <w:sz w:val="22"/>
          <w:szCs w:val="22"/>
        </w:rPr>
        <w:fldChar w:fldCharType="begin"/>
      </w:r>
      <w:r w:rsidRPr="002A6823">
        <w:rPr>
          <w:b/>
          <w:sz w:val="22"/>
          <w:szCs w:val="22"/>
        </w:rPr>
        <w:instrText xml:space="preserve"> REF _Ref485729243 \h  \* MERGEFORMAT </w:instrText>
      </w:r>
      <w:r w:rsidRPr="002A6823">
        <w:rPr>
          <w:b/>
          <w:sz w:val="22"/>
          <w:szCs w:val="22"/>
        </w:rPr>
      </w:r>
      <w:r w:rsidRPr="002A6823">
        <w:rPr>
          <w:b/>
          <w:sz w:val="22"/>
          <w:szCs w:val="22"/>
        </w:rPr>
        <w:fldChar w:fldCharType="separate"/>
      </w:r>
      <w:r w:rsidR="005A4C55" w:rsidRPr="005A4C55">
        <w:rPr>
          <w:b/>
          <w:sz w:val="22"/>
          <w:szCs w:val="22"/>
        </w:rPr>
        <w:t xml:space="preserve">Table </w:t>
      </w:r>
      <w:r w:rsidR="005A4C55" w:rsidRPr="005A4C55">
        <w:rPr>
          <w:b/>
          <w:noProof/>
          <w:sz w:val="22"/>
          <w:szCs w:val="22"/>
        </w:rPr>
        <w:t>13</w:t>
      </w:r>
      <w:r w:rsidRPr="002A6823">
        <w:rPr>
          <w:b/>
          <w:sz w:val="22"/>
          <w:szCs w:val="22"/>
        </w:rPr>
        <w:fldChar w:fldCharType="end"/>
      </w:r>
      <w:r w:rsidRPr="00DC7B30">
        <w:rPr>
          <w:sz w:val="22"/>
          <w:szCs w:val="22"/>
        </w:rPr>
        <w:t>, Class I AQRV impact analyses are not required for this project.</w:t>
      </w:r>
    </w:p>
    <w:p w:rsidR="007A792F" w:rsidRDefault="007A792F" w:rsidP="002A247A">
      <w:pPr>
        <w:pStyle w:val="Caption"/>
        <w:jc w:val="center"/>
      </w:pPr>
      <w:bookmarkStart w:id="34" w:name="_Ref485729243"/>
      <w:r>
        <w:t xml:space="preserve">Table </w:t>
      </w:r>
      <w:fldSimple w:instr=" SEQ Table \* ARABIC ">
        <w:r w:rsidR="00CF4EEA">
          <w:rPr>
            <w:noProof/>
          </w:rPr>
          <w:t>13</w:t>
        </w:r>
      </w:fldSimple>
      <w:bookmarkEnd w:id="34"/>
      <w:r>
        <w:t xml:space="preserve"> - </w:t>
      </w:r>
      <w:r w:rsidRPr="007A1689">
        <w:t>AQRV Analysis Screening Results</w:t>
      </w:r>
    </w:p>
    <w:tbl>
      <w:tblPr>
        <w:tblStyle w:val="TableGrid"/>
        <w:tblW w:w="5159" w:type="pct"/>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929"/>
        <w:gridCol w:w="827"/>
        <w:gridCol w:w="828"/>
        <w:gridCol w:w="830"/>
        <w:gridCol w:w="828"/>
        <w:gridCol w:w="1964"/>
        <w:gridCol w:w="1346"/>
        <w:gridCol w:w="1344"/>
        <w:gridCol w:w="1346"/>
      </w:tblGrid>
      <w:tr w:rsidR="00B144E8" w:rsidRPr="0079123E" w:rsidTr="002B022D">
        <w:trPr>
          <w:trHeight w:val="144"/>
        </w:trPr>
        <w:tc>
          <w:tcPr>
            <w:tcW w:w="2071" w:type="pct"/>
            <w:gridSpan w:val="5"/>
            <w:tcBorders>
              <w:top w:val="single" w:sz="4" w:space="0" w:color="auto"/>
              <w:left w:val="single" w:sz="4" w:space="0" w:color="auto"/>
              <w:bottom w:val="nil"/>
              <w:right w:val="single" w:sz="4" w:space="0" w:color="auto"/>
            </w:tcBorders>
            <w:shd w:val="clear" w:color="auto" w:fill="auto"/>
            <w:vAlign w:val="center"/>
          </w:tcPr>
          <w:p w:rsidR="00B144E8" w:rsidRPr="003D7143" w:rsidRDefault="00B144E8" w:rsidP="002A247A">
            <w:pPr>
              <w:spacing w:before="40" w:after="40"/>
              <w:jc w:val="center"/>
              <w:rPr>
                <w:b/>
                <w:szCs w:val="22"/>
              </w:rPr>
            </w:pPr>
            <w:r w:rsidRPr="003D7143">
              <w:rPr>
                <w:b/>
                <w:szCs w:val="22"/>
              </w:rPr>
              <w:t>Potential Emissions Increase based on Maximum Allowable Emissions (</w:t>
            </w:r>
            <w:r>
              <w:rPr>
                <w:b/>
                <w:szCs w:val="22"/>
              </w:rPr>
              <w:t>TPY</w:t>
            </w:r>
            <w:r w:rsidRPr="003D7143">
              <w:rPr>
                <w:b/>
                <w:szCs w:val="22"/>
              </w:rPr>
              <w:t>)</w:t>
            </w:r>
          </w:p>
        </w:tc>
        <w:tc>
          <w:tcPr>
            <w:tcW w:w="959" w:type="pct"/>
            <w:vMerge w:val="restart"/>
            <w:tcBorders>
              <w:top w:val="single" w:sz="4" w:space="0" w:color="auto"/>
              <w:left w:val="single" w:sz="4" w:space="0" w:color="auto"/>
              <w:right w:val="nil"/>
            </w:tcBorders>
            <w:shd w:val="clear" w:color="auto" w:fill="auto"/>
            <w:vAlign w:val="center"/>
          </w:tcPr>
          <w:p w:rsidR="00B144E8" w:rsidRPr="003D7143" w:rsidRDefault="00B144E8" w:rsidP="002A247A">
            <w:pPr>
              <w:spacing w:before="40" w:after="40"/>
              <w:jc w:val="center"/>
              <w:rPr>
                <w:b/>
                <w:szCs w:val="22"/>
              </w:rPr>
            </w:pPr>
            <w:r w:rsidRPr="003D7143">
              <w:rPr>
                <w:b/>
                <w:szCs w:val="22"/>
              </w:rPr>
              <w:t>Class I Area</w:t>
            </w:r>
          </w:p>
        </w:tc>
        <w:tc>
          <w:tcPr>
            <w:tcW w:w="657" w:type="pct"/>
            <w:vMerge w:val="restart"/>
            <w:tcBorders>
              <w:top w:val="single" w:sz="4" w:space="0" w:color="auto"/>
              <w:left w:val="nil"/>
              <w:right w:val="nil"/>
            </w:tcBorders>
            <w:shd w:val="clear" w:color="auto" w:fill="auto"/>
            <w:vAlign w:val="center"/>
          </w:tcPr>
          <w:p w:rsidR="00B144E8" w:rsidRPr="003D7143" w:rsidRDefault="00B144E8" w:rsidP="002A247A">
            <w:pPr>
              <w:spacing w:before="40" w:after="40"/>
              <w:jc w:val="center"/>
              <w:rPr>
                <w:b/>
                <w:szCs w:val="22"/>
              </w:rPr>
            </w:pPr>
            <w:r w:rsidRPr="003D7143">
              <w:rPr>
                <w:b/>
                <w:szCs w:val="22"/>
              </w:rPr>
              <w:t>Minimum Distance in km (</w:t>
            </w:r>
            <w:r>
              <w:rPr>
                <w:b/>
                <w:szCs w:val="22"/>
              </w:rPr>
              <w:t>D</w:t>
            </w:r>
            <w:r w:rsidRPr="003D7143">
              <w:rPr>
                <w:b/>
                <w:szCs w:val="22"/>
              </w:rPr>
              <w:t>)</w:t>
            </w:r>
          </w:p>
        </w:tc>
        <w:tc>
          <w:tcPr>
            <w:tcW w:w="656" w:type="pct"/>
            <w:vMerge w:val="restart"/>
            <w:tcBorders>
              <w:top w:val="single" w:sz="4" w:space="0" w:color="auto"/>
              <w:left w:val="nil"/>
              <w:right w:val="nil"/>
            </w:tcBorders>
            <w:shd w:val="clear" w:color="auto" w:fill="auto"/>
            <w:vAlign w:val="center"/>
          </w:tcPr>
          <w:p w:rsidR="00B144E8" w:rsidRPr="003D7143" w:rsidRDefault="00B144E8" w:rsidP="002A247A">
            <w:pPr>
              <w:spacing w:before="40" w:after="40"/>
              <w:jc w:val="center"/>
              <w:rPr>
                <w:b/>
                <w:szCs w:val="22"/>
              </w:rPr>
            </w:pPr>
            <w:r w:rsidRPr="003D7143">
              <w:rPr>
                <w:b/>
                <w:szCs w:val="22"/>
              </w:rPr>
              <w:t>FLAG Screening Ratio Q/</w:t>
            </w:r>
            <w:r>
              <w:rPr>
                <w:b/>
                <w:szCs w:val="22"/>
              </w:rPr>
              <w:t>D</w:t>
            </w:r>
          </w:p>
        </w:tc>
        <w:tc>
          <w:tcPr>
            <w:tcW w:w="657" w:type="pct"/>
            <w:vMerge w:val="restart"/>
            <w:tcBorders>
              <w:top w:val="single" w:sz="4" w:space="0" w:color="auto"/>
              <w:left w:val="nil"/>
              <w:right w:val="single" w:sz="4" w:space="0" w:color="auto"/>
            </w:tcBorders>
            <w:shd w:val="clear" w:color="auto" w:fill="auto"/>
            <w:vAlign w:val="center"/>
          </w:tcPr>
          <w:p w:rsidR="00B144E8" w:rsidRPr="003D7143" w:rsidRDefault="00B144E8" w:rsidP="002A247A">
            <w:pPr>
              <w:spacing w:before="40" w:after="40"/>
              <w:jc w:val="center"/>
              <w:rPr>
                <w:b/>
                <w:szCs w:val="22"/>
              </w:rPr>
            </w:pPr>
            <w:r w:rsidRPr="003D7143">
              <w:rPr>
                <w:b/>
                <w:szCs w:val="22"/>
              </w:rPr>
              <w:t>AQRV Analysis Required?</w:t>
            </w:r>
          </w:p>
        </w:tc>
      </w:tr>
      <w:tr w:rsidR="00B144E8" w:rsidRPr="0079123E" w:rsidTr="002B022D">
        <w:trPr>
          <w:trHeight w:val="144"/>
        </w:trPr>
        <w:tc>
          <w:tcPr>
            <w:tcW w:w="454" w:type="pct"/>
            <w:tcBorders>
              <w:top w:val="nil"/>
              <w:left w:val="single" w:sz="4" w:space="0" w:color="auto"/>
              <w:bottom w:val="single" w:sz="4" w:space="0" w:color="auto"/>
              <w:right w:val="nil"/>
            </w:tcBorders>
            <w:shd w:val="clear" w:color="auto" w:fill="auto"/>
            <w:vAlign w:val="center"/>
          </w:tcPr>
          <w:p w:rsidR="00B144E8" w:rsidRPr="003D7143" w:rsidRDefault="00B144E8" w:rsidP="002A247A">
            <w:pPr>
              <w:spacing w:before="40" w:after="40"/>
              <w:jc w:val="center"/>
              <w:rPr>
                <w:b/>
                <w:szCs w:val="22"/>
              </w:rPr>
            </w:pPr>
            <w:r w:rsidRPr="003D7143">
              <w:rPr>
                <w:b/>
                <w:szCs w:val="22"/>
              </w:rPr>
              <w:t>NO</w:t>
            </w:r>
            <w:r w:rsidRPr="003D7143">
              <w:rPr>
                <w:b/>
                <w:szCs w:val="22"/>
                <w:vertAlign w:val="subscript"/>
              </w:rPr>
              <w:t>x</w:t>
            </w:r>
          </w:p>
        </w:tc>
        <w:tc>
          <w:tcPr>
            <w:tcW w:w="404" w:type="pct"/>
            <w:tcBorders>
              <w:top w:val="nil"/>
              <w:left w:val="nil"/>
              <w:bottom w:val="single" w:sz="4" w:space="0" w:color="auto"/>
              <w:right w:val="nil"/>
            </w:tcBorders>
            <w:shd w:val="clear" w:color="auto" w:fill="auto"/>
            <w:vAlign w:val="center"/>
          </w:tcPr>
          <w:p w:rsidR="00B144E8" w:rsidRPr="003D7143" w:rsidRDefault="00B144E8" w:rsidP="002A247A">
            <w:pPr>
              <w:spacing w:before="40" w:after="40"/>
              <w:jc w:val="center"/>
              <w:rPr>
                <w:b/>
                <w:szCs w:val="22"/>
              </w:rPr>
            </w:pPr>
            <w:r w:rsidRPr="003D7143">
              <w:rPr>
                <w:b/>
                <w:szCs w:val="22"/>
              </w:rPr>
              <w:t>SO</w:t>
            </w:r>
            <w:r w:rsidRPr="003D7143">
              <w:rPr>
                <w:b/>
                <w:szCs w:val="22"/>
                <w:vertAlign w:val="subscript"/>
              </w:rPr>
              <w:t>2</w:t>
            </w:r>
          </w:p>
        </w:tc>
        <w:tc>
          <w:tcPr>
            <w:tcW w:w="404" w:type="pct"/>
            <w:tcBorders>
              <w:top w:val="nil"/>
              <w:left w:val="nil"/>
              <w:bottom w:val="single" w:sz="4" w:space="0" w:color="auto"/>
              <w:right w:val="nil"/>
            </w:tcBorders>
            <w:shd w:val="clear" w:color="auto" w:fill="auto"/>
            <w:vAlign w:val="center"/>
          </w:tcPr>
          <w:p w:rsidR="00B144E8" w:rsidRPr="003D7143" w:rsidRDefault="00B144E8" w:rsidP="002A247A">
            <w:pPr>
              <w:spacing w:before="40" w:after="40"/>
              <w:jc w:val="center"/>
              <w:rPr>
                <w:b/>
                <w:szCs w:val="22"/>
              </w:rPr>
            </w:pPr>
            <w:r w:rsidRPr="003D7143">
              <w:rPr>
                <w:b/>
                <w:szCs w:val="22"/>
              </w:rPr>
              <w:t>SAM</w:t>
            </w:r>
          </w:p>
        </w:tc>
        <w:tc>
          <w:tcPr>
            <w:tcW w:w="405" w:type="pct"/>
            <w:tcBorders>
              <w:top w:val="nil"/>
              <w:left w:val="nil"/>
              <w:bottom w:val="single" w:sz="4" w:space="0" w:color="auto"/>
              <w:right w:val="single" w:sz="4" w:space="0" w:color="auto"/>
            </w:tcBorders>
            <w:shd w:val="clear" w:color="auto" w:fill="auto"/>
            <w:vAlign w:val="center"/>
          </w:tcPr>
          <w:p w:rsidR="00B144E8" w:rsidRPr="003D7143" w:rsidRDefault="00B144E8" w:rsidP="002A247A">
            <w:pPr>
              <w:spacing w:before="40" w:after="40"/>
              <w:jc w:val="center"/>
              <w:rPr>
                <w:b/>
                <w:szCs w:val="22"/>
              </w:rPr>
            </w:pPr>
            <w:r w:rsidRPr="003D7143">
              <w:rPr>
                <w:b/>
                <w:szCs w:val="22"/>
              </w:rPr>
              <w:t>PM</w:t>
            </w:r>
            <w:r w:rsidRPr="003D7143">
              <w:rPr>
                <w:b/>
                <w:szCs w:val="22"/>
                <w:vertAlign w:val="subscript"/>
              </w:rPr>
              <w:t>10</w:t>
            </w:r>
          </w:p>
        </w:tc>
        <w:tc>
          <w:tcPr>
            <w:tcW w:w="404" w:type="pct"/>
            <w:tcBorders>
              <w:top w:val="nil"/>
              <w:left w:val="single" w:sz="4" w:space="0" w:color="auto"/>
              <w:bottom w:val="single" w:sz="4" w:space="0" w:color="auto"/>
              <w:right w:val="single" w:sz="4" w:space="0" w:color="auto"/>
            </w:tcBorders>
            <w:shd w:val="clear" w:color="auto" w:fill="auto"/>
            <w:vAlign w:val="center"/>
          </w:tcPr>
          <w:p w:rsidR="00B144E8" w:rsidRPr="003D7143" w:rsidRDefault="00B144E8" w:rsidP="002A247A">
            <w:pPr>
              <w:spacing w:before="40" w:after="40"/>
              <w:jc w:val="center"/>
              <w:rPr>
                <w:b/>
                <w:szCs w:val="22"/>
              </w:rPr>
            </w:pPr>
            <w:r w:rsidRPr="003D7143">
              <w:rPr>
                <w:b/>
                <w:szCs w:val="22"/>
              </w:rPr>
              <w:t>Total (Q)</w:t>
            </w:r>
          </w:p>
        </w:tc>
        <w:tc>
          <w:tcPr>
            <w:tcW w:w="959" w:type="pct"/>
            <w:vMerge/>
            <w:tcBorders>
              <w:left w:val="single" w:sz="4" w:space="0" w:color="auto"/>
              <w:bottom w:val="single" w:sz="4" w:space="0" w:color="auto"/>
              <w:right w:val="nil"/>
            </w:tcBorders>
            <w:shd w:val="clear" w:color="auto" w:fill="auto"/>
          </w:tcPr>
          <w:p w:rsidR="00B144E8" w:rsidRPr="003D7143" w:rsidRDefault="00B144E8" w:rsidP="002A247A">
            <w:pPr>
              <w:spacing w:before="40" w:after="40"/>
              <w:jc w:val="center"/>
              <w:rPr>
                <w:b/>
                <w:szCs w:val="22"/>
              </w:rPr>
            </w:pPr>
          </w:p>
        </w:tc>
        <w:tc>
          <w:tcPr>
            <w:tcW w:w="657" w:type="pct"/>
            <w:vMerge/>
            <w:tcBorders>
              <w:left w:val="nil"/>
              <w:bottom w:val="single" w:sz="4" w:space="0" w:color="auto"/>
              <w:right w:val="nil"/>
            </w:tcBorders>
            <w:shd w:val="clear" w:color="auto" w:fill="auto"/>
          </w:tcPr>
          <w:p w:rsidR="00B144E8" w:rsidRPr="003D7143" w:rsidRDefault="00B144E8" w:rsidP="002A247A">
            <w:pPr>
              <w:spacing w:before="40" w:after="40"/>
              <w:jc w:val="center"/>
              <w:rPr>
                <w:b/>
                <w:szCs w:val="22"/>
              </w:rPr>
            </w:pPr>
          </w:p>
        </w:tc>
        <w:tc>
          <w:tcPr>
            <w:tcW w:w="656" w:type="pct"/>
            <w:vMerge/>
            <w:tcBorders>
              <w:left w:val="nil"/>
              <w:bottom w:val="single" w:sz="4" w:space="0" w:color="auto"/>
              <w:right w:val="nil"/>
            </w:tcBorders>
            <w:shd w:val="clear" w:color="auto" w:fill="auto"/>
          </w:tcPr>
          <w:p w:rsidR="00B144E8" w:rsidRPr="003D7143" w:rsidRDefault="00B144E8" w:rsidP="002A247A">
            <w:pPr>
              <w:spacing w:before="40" w:after="40"/>
              <w:jc w:val="center"/>
              <w:rPr>
                <w:b/>
                <w:szCs w:val="22"/>
              </w:rPr>
            </w:pPr>
          </w:p>
        </w:tc>
        <w:tc>
          <w:tcPr>
            <w:tcW w:w="657" w:type="pct"/>
            <w:vMerge/>
            <w:tcBorders>
              <w:left w:val="nil"/>
              <w:bottom w:val="single" w:sz="4" w:space="0" w:color="auto"/>
              <w:right w:val="single" w:sz="4" w:space="0" w:color="auto"/>
            </w:tcBorders>
            <w:shd w:val="clear" w:color="auto" w:fill="auto"/>
          </w:tcPr>
          <w:p w:rsidR="00B144E8" w:rsidRPr="003D7143" w:rsidRDefault="00B144E8" w:rsidP="002A247A">
            <w:pPr>
              <w:spacing w:before="40" w:after="40"/>
              <w:jc w:val="center"/>
              <w:rPr>
                <w:b/>
                <w:szCs w:val="22"/>
              </w:rPr>
            </w:pPr>
          </w:p>
        </w:tc>
      </w:tr>
      <w:tr w:rsidR="00B144E8" w:rsidRPr="0079123E" w:rsidTr="002B022D">
        <w:trPr>
          <w:trHeight w:val="144"/>
        </w:trPr>
        <w:tc>
          <w:tcPr>
            <w:tcW w:w="454" w:type="pct"/>
            <w:vMerge w:val="restart"/>
            <w:tcBorders>
              <w:top w:val="single" w:sz="4" w:space="0" w:color="auto"/>
              <w:left w:val="single" w:sz="4" w:space="0" w:color="auto"/>
              <w:bottom w:val="single" w:sz="4" w:space="0" w:color="auto"/>
              <w:right w:val="nil"/>
            </w:tcBorders>
            <w:shd w:val="clear" w:color="auto" w:fill="auto"/>
            <w:vAlign w:val="center"/>
          </w:tcPr>
          <w:p w:rsidR="00B144E8" w:rsidRPr="003D7143" w:rsidRDefault="00B144E8" w:rsidP="002A247A">
            <w:pPr>
              <w:spacing w:before="40" w:after="40"/>
              <w:jc w:val="center"/>
              <w:rPr>
                <w:b/>
                <w:szCs w:val="22"/>
              </w:rPr>
            </w:pPr>
            <w:r w:rsidRPr="003D7143">
              <w:rPr>
                <w:szCs w:val="22"/>
              </w:rPr>
              <w:t>552.3</w:t>
            </w:r>
          </w:p>
        </w:tc>
        <w:tc>
          <w:tcPr>
            <w:tcW w:w="404" w:type="pct"/>
            <w:vMerge w:val="restart"/>
            <w:tcBorders>
              <w:top w:val="single" w:sz="4" w:space="0" w:color="auto"/>
              <w:left w:val="nil"/>
              <w:bottom w:val="single" w:sz="4" w:space="0" w:color="auto"/>
              <w:right w:val="nil"/>
            </w:tcBorders>
            <w:shd w:val="clear" w:color="auto" w:fill="auto"/>
            <w:vAlign w:val="center"/>
          </w:tcPr>
          <w:p w:rsidR="00B144E8" w:rsidRPr="003D7143" w:rsidRDefault="00B144E8" w:rsidP="002A247A">
            <w:pPr>
              <w:spacing w:before="40" w:after="40"/>
              <w:jc w:val="center"/>
              <w:rPr>
                <w:b/>
                <w:szCs w:val="22"/>
              </w:rPr>
            </w:pPr>
            <w:r w:rsidRPr="003D7143">
              <w:rPr>
                <w:szCs w:val="22"/>
              </w:rPr>
              <w:t>309.2</w:t>
            </w:r>
          </w:p>
        </w:tc>
        <w:tc>
          <w:tcPr>
            <w:tcW w:w="404" w:type="pct"/>
            <w:vMerge w:val="restart"/>
            <w:tcBorders>
              <w:top w:val="single" w:sz="4" w:space="0" w:color="auto"/>
              <w:left w:val="nil"/>
              <w:bottom w:val="single" w:sz="4" w:space="0" w:color="auto"/>
              <w:right w:val="nil"/>
            </w:tcBorders>
            <w:shd w:val="clear" w:color="auto" w:fill="auto"/>
            <w:vAlign w:val="center"/>
          </w:tcPr>
          <w:p w:rsidR="00B144E8" w:rsidRPr="003D7143" w:rsidRDefault="00B144E8" w:rsidP="002A247A">
            <w:pPr>
              <w:spacing w:before="40" w:after="40"/>
              <w:jc w:val="center"/>
              <w:rPr>
                <w:b/>
                <w:szCs w:val="22"/>
              </w:rPr>
            </w:pPr>
            <w:r w:rsidRPr="003D7143">
              <w:rPr>
                <w:szCs w:val="22"/>
              </w:rPr>
              <w:t>15.2</w:t>
            </w:r>
          </w:p>
        </w:tc>
        <w:tc>
          <w:tcPr>
            <w:tcW w:w="405" w:type="pct"/>
            <w:vMerge w:val="restart"/>
            <w:tcBorders>
              <w:top w:val="single" w:sz="4" w:space="0" w:color="auto"/>
              <w:left w:val="nil"/>
              <w:bottom w:val="single" w:sz="4" w:space="0" w:color="auto"/>
              <w:right w:val="single" w:sz="4" w:space="0" w:color="auto"/>
            </w:tcBorders>
            <w:shd w:val="clear" w:color="auto" w:fill="auto"/>
            <w:vAlign w:val="center"/>
          </w:tcPr>
          <w:p w:rsidR="00B144E8" w:rsidRPr="003D7143" w:rsidRDefault="00B144E8" w:rsidP="002A247A">
            <w:pPr>
              <w:spacing w:before="40" w:after="40"/>
              <w:jc w:val="center"/>
              <w:rPr>
                <w:b/>
                <w:szCs w:val="22"/>
              </w:rPr>
            </w:pPr>
            <w:r>
              <w:rPr>
                <w:szCs w:val="22"/>
              </w:rPr>
              <w:t>54.4</w:t>
            </w:r>
          </w:p>
        </w:tc>
        <w:tc>
          <w:tcPr>
            <w:tcW w:w="40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44E8" w:rsidRPr="003D7143" w:rsidRDefault="00B144E8" w:rsidP="002A247A">
            <w:pPr>
              <w:spacing w:before="40" w:after="40"/>
              <w:jc w:val="center"/>
              <w:rPr>
                <w:b/>
                <w:szCs w:val="22"/>
              </w:rPr>
            </w:pPr>
            <w:r>
              <w:rPr>
                <w:szCs w:val="22"/>
              </w:rPr>
              <w:t>931.1</w:t>
            </w:r>
          </w:p>
        </w:tc>
        <w:tc>
          <w:tcPr>
            <w:tcW w:w="959" w:type="pct"/>
            <w:tcBorders>
              <w:top w:val="single" w:sz="4" w:space="0" w:color="auto"/>
              <w:left w:val="single" w:sz="4" w:space="0" w:color="auto"/>
              <w:bottom w:val="single" w:sz="4" w:space="0" w:color="auto"/>
              <w:right w:val="nil"/>
            </w:tcBorders>
            <w:shd w:val="clear" w:color="auto" w:fill="auto"/>
          </w:tcPr>
          <w:p w:rsidR="00B144E8" w:rsidRPr="003D7143" w:rsidRDefault="00B144E8" w:rsidP="002A247A">
            <w:pPr>
              <w:spacing w:before="40" w:after="40"/>
              <w:jc w:val="center"/>
              <w:rPr>
                <w:szCs w:val="22"/>
              </w:rPr>
            </w:pPr>
            <w:r w:rsidRPr="003D7143">
              <w:rPr>
                <w:szCs w:val="22"/>
              </w:rPr>
              <w:t>Chassahowitzka</w:t>
            </w:r>
          </w:p>
        </w:tc>
        <w:tc>
          <w:tcPr>
            <w:tcW w:w="657" w:type="pct"/>
            <w:tcBorders>
              <w:top w:val="single" w:sz="4" w:space="0" w:color="auto"/>
              <w:left w:val="nil"/>
              <w:bottom w:val="single" w:sz="4" w:space="0" w:color="auto"/>
              <w:right w:val="nil"/>
            </w:tcBorders>
            <w:shd w:val="clear" w:color="auto" w:fill="auto"/>
          </w:tcPr>
          <w:p w:rsidR="00B144E8" w:rsidRPr="003D7143" w:rsidRDefault="00B144E8" w:rsidP="002A247A">
            <w:pPr>
              <w:spacing w:before="40" w:after="40"/>
              <w:jc w:val="center"/>
              <w:rPr>
                <w:szCs w:val="22"/>
              </w:rPr>
            </w:pPr>
            <w:r w:rsidRPr="003D7143">
              <w:rPr>
                <w:szCs w:val="22"/>
              </w:rPr>
              <w:t>188</w:t>
            </w:r>
          </w:p>
        </w:tc>
        <w:tc>
          <w:tcPr>
            <w:tcW w:w="656" w:type="pct"/>
            <w:tcBorders>
              <w:top w:val="single" w:sz="4" w:space="0" w:color="auto"/>
              <w:left w:val="nil"/>
              <w:bottom w:val="single" w:sz="4" w:space="0" w:color="auto"/>
              <w:right w:val="nil"/>
            </w:tcBorders>
            <w:shd w:val="clear" w:color="auto" w:fill="auto"/>
          </w:tcPr>
          <w:p w:rsidR="00B144E8" w:rsidRPr="003D7143" w:rsidRDefault="00B144E8" w:rsidP="002A247A">
            <w:pPr>
              <w:spacing w:before="40" w:after="40"/>
              <w:jc w:val="center"/>
              <w:rPr>
                <w:szCs w:val="22"/>
              </w:rPr>
            </w:pPr>
            <w:r w:rsidRPr="003D7143">
              <w:rPr>
                <w:szCs w:val="22"/>
              </w:rPr>
              <w:t>4.9</w:t>
            </w:r>
          </w:p>
        </w:tc>
        <w:tc>
          <w:tcPr>
            <w:tcW w:w="657" w:type="pct"/>
            <w:tcBorders>
              <w:top w:val="single" w:sz="4" w:space="0" w:color="auto"/>
              <w:left w:val="nil"/>
              <w:bottom w:val="single" w:sz="4" w:space="0" w:color="auto"/>
              <w:right w:val="single" w:sz="4" w:space="0" w:color="auto"/>
            </w:tcBorders>
            <w:shd w:val="clear" w:color="auto" w:fill="auto"/>
          </w:tcPr>
          <w:p w:rsidR="00B144E8" w:rsidRPr="003D7143" w:rsidRDefault="00B144E8" w:rsidP="002A247A">
            <w:pPr>
              <w:spacing w:before="40" w:after="40"/>
              <w:jc w:val="center"/>
              <w:rPr>
                <w:szCs w:val="22"/>
              </w:rPr>
            </w:pPr>
            <w:r w:rsidRPr="003D7143">
              <w:rPr>
                <w:szCs w:val="22"/>
              </w:rPr>
              <w:t>No</w:t>
            </w:r>
          </w:p>
        </w:tc>
      </w:tr>
      <w:tr w:rsidR="00B144E8" w:rsidRPr="0079123E" w:rsidTr="002B022D">
        <w:trPr>
          <w:trHeight w:val="144"/>
        </w:trPr>
        <w:tc>
          <w:tcPr>
            <w:tcW w:w="454" w:type="pct"/>
            <w:vMerge/>
            <w:tcBorders>
              <w:top w:val="single" w:sz="4" w:space="0" w:color="auto"/>
              <w:left w:val="single" w:sz="4" w:space="0" w:color="auto"/>
              <w:bottom w:val="single" w:sz="4" w:space="0" w:color="auto"/>
              <w:right w:val="nil"/>
            </w:tcBorders>
            <w:shd w:val="clear" w:color="auto" w:fill="auto"/>
            <w:vAlign w:val="center"/>
          </w:tcPr>
          <w:p w:rsidR="00B144E8" w:rsidRPr="003D7143" w:rsidRDefault="00B144E8" w:rsidP="002A247A">
            <w:pPr>
              <w:spacing w:before="40" w:after="40"/>
              <w:jc w:val="center"/>
              <w:rPr>
                <w:szCs w:val="22"/>
                <w:highlight w:val="yellow"/>
              </w:rPr>
            </w:pPr>
          </w:p>
        </w:tc>
        <w:tc>
          <w:tcPr>
            <w:tcW w:w="404" w:type="pct"/>
            <w:vMerge/>
            <w:tcBorders>
              <w:top w:val="single" w:sz="4" w:space="0" w:color="auto"/>
              <w:left w:val="nil"/>
              <w:bottom w:val="single" w:sz="4" w:space="0" w:color="auto"/>
              <w:right w:val="nil"/>
            </w:tcBorders>
            <w:shd w:val="clear" w:color="auto" w:fill="auto"/>
            <w:vAlign w:val="center"/>
          </w:tcPr>
          <w:p w:rsidR="00B144E8" w:rsidRPr="003D7143" w:rsidRDefault="00B144E8" w:rsidP="002A247A">
            <w:pPr>
              <w:spacing w:before="40" w:after="40"/>
              <w:jc w:val="center"/>
              <w:rPr>
                <w:szCs w:val="22"/>
                <w:highlight w:val="yellow"/>
              </w:rPr>
            </w:pPr>
          </w:p>
        </w:tc>
        <w:tc>
          <w:tcPr>
            <w:tcW w:w="404" w:type="pct"/>
            <w:vMerge/>
            <w:tcBorders>
              <w:top w:val="single" w:sz="4" w:space="0" w:color="auto"/>
              <w:left w:val="nil"/>
              <w:bottom w:val="single" w:sz="4" w:space="0" w:color="auto"/>
              <w:right w:val="nil"/>
            </w:tcBorders>
            <w:shd w:val="clear" w:color="auto" w:fill="auto"/>
            <w:vAlign w:val="center"/>
          </w:tcPr>
          <w:p w:rsidR="00B144E8" w:rsidRPr="003D7143" w:rsidRDefault="00B144E8" w:rsidP="002A247A">
            <w:pPr>
              <w:spacing w:before="40" w:after="40"/>
              <w:jc w:val="center"/>
              <w:rPr>
                <w:szCs w:val="22"/>
                <w:highlight w:val="yellow"/>
              </w:rPr>
            </w:pPr>
          </w:p>
        </w:tc>
        <w:tc>
          <w:tcPr>
            <w:tcW w:w="405" w:type="pct"/>
            <w:vMerge/>
            <w:tcBorders>
              <w:top w:val="single" w:sz="4" w:space="0" w:color="auto"/>
              <w:left w:val="nil"/>
              <w:bottom w:val="single" w:sz="4" w:space="0" w:color="auto"/>
              <w:right w:val="single" w:sz="4" w:space="0" w:color="auto"/>
            </w:tcBorders>
            <w:shd w:val="clear" w:color="auto" w:fill="auto"/>
            <w:vAlign w:val="center"/>
          </w:tcPr>
          <w:p w:rsidR="00B144E8" w:rsidRPr="003D7143" w:rsidRDefault="00B144E8" w:rsidP="002A247A">
            <w:pPr>
              <w:spacing w:before="40" w:after="40"/>
              <w:jc w:val="center"/>
              <w:rPr>
                <w:szCs w:val="22"/>
                <w:highlight w:val="yellow"/>
              </w:rPr>
            </w:pPr>
          </w:p>
        </w:tc>
        <w:tc>
          <w:tcPr>
            <w:tcW w:w="404" w:type="pct"/>
            <w:vMerge/>
            <w:tcBorders>
              <w:top w:val="single" w:sz="4" w:space="0" w:color="auto"/>
              <w:left w:val="single" w:sz="4" w:space="0" w:color="auto"/>
              <w:bottom w:val="single" w:sz="4" w:space="0" w:color="auto"/>
              <w:right w:val="single" w:sz="4" w:space="0" w:color="auto"/>
            </w:tcBorders>
            <w:shd w:val="clear" w:color="auto" w:fill="auto"/>
            <w:vAlign w:val="center"/>
          </w:tcPr>
          <w:p w:rsidR="00B144E8" w:rsidRPr="003D7143" w:rsidRDefault="00B144E8" w:rsidP="002A247A">
            <w:pPr>
              <w:spacing w:before="40" w:after="40"/>
              <w:jc w:val="center"/>
              <w:rPr>
                <w:szCs w:val="22"/>
                <w:highlight w:val="yellow"/>
              </w:rPr>
            </w:pPr>
          </w:p>
        </w:tc>
        <w:tc>
          <w:tcPr>
            <w:tcW w:w="959" w:type="pct"/>
            <w:tcBorders>
              <w:top w:val="single" w:sz="4" w:space="0" w:color="auto"/>
              <w:left w:val="single" w:sz="4" w:space="0" w:color="auto"/>
              <w:bottom w:val="single" w:sz="4" w:space="0" w:color="auto"/>
              <w:right w:val="nil"/>
            </w:tcBorders>
            <w:shd w:val="clear" w:color="auto" w:fill="auto"/>
          </w:tcPr>
          <w:p w:rsidR="00B144E8" w:rsidRPr="003D7143" w:rsidRDefault="00B144E8" w:rsidP="002A247A">
            <w:pPr>
              <w:spacing w:before="40" w:after="40"/>
              <w:jc w:val="center"/>
              <w:rPr>
                <w:szCs w:val="22"/>
              </w:rPr>
            </w:pPr>
            <w:r w:rsidRPr="003D7143">
              <w:rPr>
                <w:szCs w:val="22"/>
              </w:rPr>
              <w:t>Everglades</w:t>
            </w:r>
          </w:p>
        </w:tc>
        <w:tc>
          <w:tcPr>
            <w:tcW w:w="657" w:type="pct"/>
            <w:tcBorders>
              <w:top w:val="single" w:sz="4" w:space="0" w:color="auto"/>
              <w:left w:val="nil"/>
              <w:bottom w:val="single" w:sz="4" w:space="0" w:color="auto"/>
              <w:right w:val="nil"/>
            </w:tcBorders>
            <w:shd w:val="clear" w:color="auto" w:fill="auto"/>
          </w:tcPr>
          <w:p w:rsidR="00B144E8" w:rsidRPr="003D7143" w:rsidRDefault="00B144E8" w:rsidP="002A247A">
            <w:pPr>
              <w:spacing w:before="40" w:after="40"/>
              <w:jc w:val="center"/>
              <w:rPr>
                <w:szCs w:val="22"/>
              </w:rPr>
            </w:pPr>
            <w:r w:rsidRPr="003D7143">
              <w:rPr>
                <w:szCs w:val="22"/>
              </w:rPr>
              <w:t>147</w:t>
            </w:r>
          </w:p>
        </w:tc>
        <w:tc>
          <w:tcPr>
            <w:tcW w:w="656" w:type="pct"/>
            <w:tcBorders>
              <w:top w:val="single" w:sz="4" w:space="0" w:color="auto"/>
              <w:left w:val="nil"/>
              <w:bottom w:val="single" w:sz="4" w:space="0" w:color="auto"/>
              <w:right w:val="nil"/>
            </w:tcBorders>
            <w:shd w:val="clear" w:color="auto" w:fill="auto"/>
          </w:tcPr>
          <w:p w:rsidR="00B144E8" w:rsidRPr="003D7143" w:rsidRDefault="00B144E8" w:rsidP="002A247A">
            <w:pPr>
              <w:spacing w:before="40" w:after="40"/>
              <w:jc w:val="center"/>
              <w:rPr>
                <w:szCs w:val="22"/>
              </w:rPr>
            </w:pPr>
            <w:r w:rsidRPr="003D7143">
              <w:rPr>
                <w:szCs w:val="22"/>
              </w:rPr>
              <w:t>6.3</w:t>
            </w:r>
          </w:p>
        </w:tc>
        <w:tc>
          <w:tcPr>
            <w:tcW w:w="657" w:type="pct"/>
            <w:tcBorders>
              <w:top w:val="single" w:sz="4" w:space="0" w:color="auto"/>
              <w:left w:val="nil"/>
              <w:bottom w:val="single" w:sz="4" w:space="0" w:color="auto"/>
              <w:right w:val="single" w:sz="4" w:space="0" w:color="auto"/>
            </w:tcBorders>
            <w:shd w:val="clear" w:color="auto" w:fill="auto"/>
          </w:tcPr>
          <w:p w:rsidR="00B144E8" w:rsidRPr="003D7143" w:rsidRDefault="00B144E8" w:rsidP="002A247A">
            <w:pPr>
              <w:spacing w:before="40" w:after="40"/>
              <w:jc w:val="center"/>
              <w:rPr>
                <w:szCs w:val="22"/>
              </w:rPr>
            </w:pPr>
            <w:r w:rsidRPr="003D7143">
              <w:rPr>
                <w:szCs w:val="22"/>
              </w:rPr>
              <w:t>No</w:t>
            </w:r>
          </w:p>
        </w:tc>
      </w:tr>
    </w:tbl>
    <w:p w:rsidR="007A792F" w:rsidRPr="00A918E1" w:rsidRDefault="007A792F" w:rsidP="002A247A">
      <w:pPr>
        <w:pStyle w:val="ListParagraph"/>
        <w:widowControl w:val="0"/>
        <w:numPr>
          <w:ilvl w:val="1"/>
          <w:numId w:val="15"/>
        </w:numPr>
        <w:spacing w:before="120" w:after="120"/>
        <w:ind w:left="720" w:hanging="720"/>
        <w:contextualSpacing w:val="0"/>
        <w:rPr>
          <w:b/>
          <w:sz w:val="22"/>
          <w:szCs w:val="22"/>
        </w:rPr>
      </w:pPr>
      <w:r>
        <w:rPr>
          <w:b/>
          <w:sz w:val="22"/>
          <w:szCs w:val="22"/>
        </w:rPr>
        <w:t>Conclusion</w:t>
      </w:r>
    </w:p>
    <w:p w:rsidR="007A792F" w:rsidRPr="00A918E1" w:rsidRDefault="007A792F" w:rsidP="002A247A">
      <w:pPr>
        <w:widowControl w:val="0"/>
        <w:spacing w:before="120" w:after="120"/>
        <w:rPr>
          <w:sz w:val="22"/>
          <w:szCs w:val="22"/>
        </w:rPr>
      </w:pPr>
      <w:r>
        <w:rPr>
          <w:sz w:val="22"/>
          <w:szCs w:val="22"/>
        </w:rPr>
        <w:t>Based on the results presented in the air quality impact analysis, the Department has reasonable assurance that the increased pollutant emissions associated with the project will not cause or significantly contribute to any violation of a NAAQS or PSD increment; in addition, the Department finds that there will be no adverse impact on soils, vegetation, wildlife, or AQRVs in Class I areas.</w:t>
      </w:r>
    </w:p>
    <w:p w:rsidR="00193F10" w:rsidRPr="00746205" w:rsidRDefault="00193F10" w:rsidP="002A247A">
      <w:pPr>
        <w:pStyle w:val="ListParagraph"/>
        <w:widowControl w:val="0"/>
        <w:numPr>
          <w:ilvl w:val="0"/>
          <w:numId w:val="15"/>
        </w:numPr>
        <w:spacing w:after="120"/>
        <w:ind w:left="720" w:hanging="720"/>
        <w:contextualSpacing w:val="0"/>
        <w:rPr>
          <w:b/>
          <w:caps/>
          <w:sz w:val="22"/>
          <w:szCs w:val="22"/>
        </w:rPr>
      </w:pPr>
      <w:r w:rsidRPr="00746205">
        <w:rPr>
          <w:b/>
          <w:caps/>
          <w:sz w:val="22"/>
          <w:szCs w:val="22"/>
        </w:rPr>
        <w:t>Preliminary Determination</w:t>
      </w:r>
    </w:p>
    <w:p w:rsidR="00193F10" w:rsidRDefault="00190881" w:rsidP="005325B9">
      <w:pPr>
        <w:widowControl w:val="0"/>
        <w:spacing w:after="120"/>
        <w:rPr>
          <w:sz w:val="22"/>
          <w:szCs w:val="22"/>
        </w:rPr>
      </w:pPr>
      <w:r w:rsidRPr="00290299">
        <w:rPr>
          <w:sz w:val="22"/>
          <w:szCs w:val="22"/>
        </w:rPr>
        <w:t>The Department makes a preliminary determination that the proposed project will comply with all applicable state and federal air pollution reg</w:t>
      </w:r>
      <w:r>
        <w:rPr>
          <w:sz w:val="22"/>
          <w:szCs w:val="22"/>
        </w:rPr>
        <w:t>ulations as conditioned by the D</w:t>
      </w:r>
      <w:r w:rsidRPr="00290299">
        <w:rPr>
          <w:sz w:val="22"/>
          <w:szCs w:val="22"/>
        </w:rPr>
        <w:t xml:space="preserve">raft </w:t>
      </w:r>
      <w:r>
        <w:rPr>
          <w:sz w:val="22"/>
          <w:szCs w:val="22"/>
        </w:rPr>
        <w:t>P</w:t>
      </w:r>
      <w:r w:rsidRPr="00290299">
        <w:rPr>
          <w:sz w:val="22"/>
          <w:szCs w:val="22"/>
        </w:rPr>
        <w:t xml:space="preserve">ermit.  This determination is based on a technical review of the complete application, reasonable assurances provided by the applicant, and the conditions specified in the </w:t>
      </w:r>
      <w:r>
        <w:rPr>
          <w:sz w:val="22"/>
          <w:szCs w:val="22"/>
        </w:rPr>
        <w:t>D</w:t>
      </w:r>
      <w:r w:rsidRPr="00290299">
        <w:rPr>
          <w:sz w:val="22"/>
          <w:szCs w:val="22"/>
        </w:rPr>
        <w:t xml:space="preserve">raft </w:t>
      </w:r>
      <w:r>
        <w:rPr>
          <w:sz w:val="22"/>
          <w:szCs w:val="22"/>
        </w:rPr>
        <w:t>P</w:t>
      </w:r>
      <w:r w:rsidRPr="00290299">
        <w:rPr>
          <w:sz w:val="22"/>
          <w:szCs w:val="22"/>
        </w:rPr>
        <w:t xml:space="preserve">ermit.  </w:t>
      </w:r>
      <w:r w:rsidR="000D1AF4">
        <w:rPr>
          <w:sz w:val="22"/>
          <w:szCs w:val="22"/>
        </w:rPr>
        <w:t>John Dawson</w:t>
      </w:r>
      <w:r w:rsidRPr="00290299">
        <w:rPr>
          <w:sz w:val="22"/>
          <w:szCs w:val="22"/>
        </w:rPr>
        <w:t xml:space="preserve"> is the project engineer responsible for reviewing the application and drafting the permit changes.  </w:t>
      </w:r>
      <w:r w:rsidR="000D1AF4">
        <w:rPr>
          <w:sz w:val="22"/>
          <w:szCs w:val="22"/>
        </w:rPr>
        <w:t>Ashley Kung</w:t>
      </w:r>
      <w:r w:rsidRPr="00290299">
        <w:rPr>
          <w:sz w:val="22"/>
          <w:szCs w:val="22"/>
        </w:rPr>
        <w:t xml:space="preserve"> is the meteorologist responsible for reviewing </w:t>
      </w:r>
      <w:r w:rsidR="00183DED">
        <w:rPr>
          <w:sz w:val="22"/>
          <w:szCs w:val="22"/>
        </w:rPr>
        <w:t xml:space="preserve">and approving </w:t>
      </w:r>
      <w:r w:rsidRPr="00290299">
        <w:rPr>
          <w:sz w:val="22"/>
          <w:szCs w:val="22"/>
        </w:rPr>
        <w:t xml:space="preserve">the ambient air quality analyses.  Additional details of this analysis may be obtained by contacting the project engineer at the Department’s </w:t>
      </w:r>
      <w:r w:rsidR="00BA5049">
        <w:rPr>
          <w:sz w:val="22"/>
          <w:szCs w:val="22"/>
        </w:rPr>
        <w:t>Office of Permitting and Compliance</w:t>
      </w:r>
      <w:r w:rsidRPr="00290299">
        <w:rPr>
          <w:sz w:val="22"/>
          <w:szCs w:val="22"/>
        </w:rPr>
        <w:t xml:space="preserve"> at Mail Station #5505, 2600 Blair</w:t>
      </w:r>
      <w:r w:rsidR="00301492">
        <w:rPr>
          <w:sz w:val="22"/>
          <w:szCs w:val="22"/>
        </w:rPr>
        <w:t xml:space="preserve"> S</w:t>
      </w:r>
      <w:r w:rsidRPr="00290299">
        <w:rPr>
          <w:sz w:val="22"/>
          <w:szCs w:val="22"/>
        </w:rPr>
        <w:t>tone Road, Tallahassee, Florida  32399-2400</w:t>
      </w:r>
      <w:r w:rsidR="00190915" w:rsidRPr="00190915">
        <w:rPr>
          <w:sz w:val="22"/>
        </w:rPr>
        <w:t xml:space="preserve"> </w:t>
      </w:r>
      <w:r w:rsidR="00190915">
        <w:rPr>
          <w:sz w:val="22"/>
        </w:rPr>
        <w:t>at 850</w:t>
      </w:r>
      <w:r w:rsidR="000D1AF4">
        <w:rPr>
          <w:sz w:val="22"/>
        </w:rPr>
        <w:t>-</w:t>
      </w:r>
      <w:r w:rsidR="00190915">
        <w:rPr>
          <w:sz w:val="22"/>
        </w:rPr>
        <w:t>717-</w:t>
      </w:r>
      <w:r w:rsidR="000D1AF4">
        <w:rPr>
          <w:sz w:val="22"/>
        </w:rPr>
        <w:t>9085</w:t>
      </w:r>
      <w:r w:rsidR="00190915">
        <w:rPr>
          <w:sz w:val="22"/>
        </w:rPr>
        <w:t xml:space="preserve"> or by email </w:t>
      </w:r>
      <w:hyperlink r:id="rId55" w:history="1">
        <w:r w:rsidR="000D1AF4" w:rsidRPr="005A50A0">
          <w:rPr>
            <w:rStyle w:val="Hyperlink"/>
            <w:sz w:val="22"/>
          </w:rPr>
          <w:t>John.Dawson@dep.state.fl.us</w:t>
        </w:r>
      </w:hyperlink>
      <w:r w:rsidR="00190915">
        <w:rPr>
          <w:sz w:val="22"/>
        </w:rPr>
        <w:t>.</w:t>
      </w:r>
    </w:p>
    <w:p w:rsidR="000D1AF4" w:rsidRPr="00190915" w:rsidRDefault="000D1AF4" w:rsidP="000D1AF4">
      <w:pPr>
        <w:widowControl w:val="0"/>
        <w:spacing w:after="120"/>
        <w:rPr>
          <w:i/>
          <w:sz w:val="22"/>
          <w:szCs w:val="22"/>
        </w:rPr>
      </w:pPr>
      <w:bookmarkStart w:id="35" w:name="lastpage"/>
      <w:bookmarkEnd w:id="35"/>
      <w:r w:rsidRPr="00190915">
        <w:rPr>
          <w:i/>
          <w:sz w:val="22"/>
          <w:szCs w:val="22"/>
        </w:rPr>
        <w:t xml:space="preserve"> </w:t>
      </w:r>
    </w:p>
    <w:p w:rsidR="00193F10" w:rsidRPr="00190915" w:rsidRDefault="00193F10" w:rsidP="005325B9">
      <w:pPr>
        <w:widowControl w:val="0"/>
        <w:spacing w:after="120"/>
        <w:jc w:val="both"/>
        <w:rPr>
          <w:i/>
          <w:sz w:val="22"/>
          <w:szCs w:val="22"/>
        </w:rPr>
      </w:pPr>
    </w:p>
    <w:sectPr w:rsidR="00193F10" w:rsidRPr="00190915" w:rsidSect="00963859">
      <w:headerReference w:type="default" r:id="rId56"/>
      <w:footerReference w:type="default" r:id="rId57"/>
      <w:headerReference w:type="first" r:id="rId58"/>
      <w:footerReference w:type="first" r:id="rId59"/>
      <w:pgSz w:w="12240" w:h="15840" w:code="1"/>
      <w:pgMar w:top="720" w:right="1152" w:bottom="720" w:left="1152" w:header="720" w:footer="432" w:gutter="0"/>
      <w:paperSrc w:first="7" w:other="7"/>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E318E" w:rsidRDefault="004E318E">
      <w:r>
        <w:separator/>
      </w:r>
    </w:p>
  </w:endnote>
  <w:endnote w:type="continuationSeparator" w:id="0">
    <w:p w:rsidR="004E318E" w:rsidRDefault="004E31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318E" w:rsidRPr="00C761BE" w:rsidRDefault="004E318E" w:rsidP="0012264F">
    <w:pPr>
      <w:pBdr>
        <w:top w:val="single" w:sz="6" w:space="1" w:color="auto"/>
      </w:pBdr>
      <w:tabs>
        <w:tab w:val="left" w:pos="7200"/>
      </w:tabs>
      <w:spacing w:before="240"/>
      <w:rPr>
        <w:rStyle w:val="PageNumber"/>
      </w:rPr>
    </w:pPr>
    <w:r>
      <w:rPr>
        <w:rStyle w:val="PageNumber"/>
      </w:rPr>
      <w:t>Highlands EnviroFuels, LLC</w:t>
    </w:r>
    <w:r w:rsidRPr="00C761BE">
      <w:rPr>
        <w:rStyle w:val="PageNumber"/>
        <w:color w:val="FF0000"/>
      </w:rPr>
      <w:tab/>
    </w:r>
    <w:r w:rsidRPr="00C761BE">
      <w:rPr>
        <w:rStyle w:val="PageNumber"/>
      </w:rPr>
      <w:t>Air Permit</w:t>
    </w:r>
    <w:r>
      <w:rPr>
        <w:rStyle w:val="PageNumber"/>
      </w:rPr>
      <w:t xml:space="preserve"> No. 0550063-004-AC</w:t>
    </w:r>
  </w:p>
  <w:p w:rsidR="004E318E" w:rsidRPr="00C761BE" w:rsidRDefault="004E318E" w:rsidP="0012264F">
    <w:pPr>
      <w:pBdr>
        <w:top w:val="single" w:sz="6" w:space="1" w:color="auto"/>
      </w:pBdr>
      <w:tabs>
        <w:tab w:val="left" w:pos="8730"/>
      </w:tabs>
      <w:rPr>
        <w:rStyle w:val="PageNumber"/>
      </w:rPr>
    </w:pPr>
    <w:r>
      <w:rPr>
        <w:rStyle w:val="PageNumber"/>
      </w:rPr>
      <w:t>Sugarcane/Sorghum-to-Ethanol Advanced Biorefinery</w:t>
    </w:r>
    <w:r w:rsidRPr="00C761BE">
      <w:rPr>
        <w:rStyle w:val="PageNumber"/>
      </w:rPr>
      <w:tab/>
    </w:r>
    <w:r>
      <w:rPr>
        <w:rStyle w:val="PageNumber"/>
      </w:rPr>
      <w:t>PSD-FL-416A</w:t>
    </w:r>
  </w:p>
  <w:p w:rsidR="004E318E" w:rsidRPr="00C761BE" w:rsidRDefault="004E318E" w:rsidP="00C761BE">
    <w:pPr>
      <w:pStyle w:val="Footer"/>
      <w:tabs>
        <w:tab w:val="clear" w:pos="4320"/>
        <w:tab w:val="clear" w:pos="8640"/>
        <w:tab w:val="left" w:pos="7380"/>
      </w:tabs>
      <w:jc w:val="center"/>
    </w:pPr>
    <w:r w:rsidRPr="00C761BE">
      <w:rPr>
        <w:rStyle w:val="PageNumber"/>
      </w:rPr>
      <w:t xml:space="preserve">Page </w:t>
    </w:r>
    <w:r w:rsidRPr="00C761BE">
      <w:rPr>
        <w:rStyle w:val="PageNumber"/>
      </w:rPr>
      <w:fldChar w:fldCharType="begin"/>
    </w:r>
    <w:r w:rsidRPr="00C761BE">
      <w:rPr>
        <w:rStyle w:val="PageNumber"/>
      </w:rPr>
      <w:instrText xml:space="preserve"> PAGE </w:instrText>
    </w:r>
    <w:r w:rsidRPr="00C761BE">
      <w:rPr>
        <w:rStyle w:val="PageNumber"/>
      </w:rPr>
      <w:fldChar w:fldCharType="separate"/>
    </w:r>
    <w:r w:rsidR="00396E65">
      <w:rPr>
        <w:rStyle w:val="PageNumber"/>
        <w:noProof/>
      </w:rPr>
      <w:t>21</w:t>
    </w:r>
    <w:r w:rsidRPr="00C761BE">
      <w:rPr>
        <w:rStyle w:val="PageNumber"/>
      </w:rPr>
      <w:fldChar w:fldCharType="end"/>
    </w:r>
    <w:r w:rsidRPr="00C761BE">
      <w:rPr>
        <w:rStyle w:val="PageNumber"/>
      </w:rPr>
      <w:t xml:space="preserve"> of </w:t>
    </w:r>
    <w:r w:rsidRPr="00C761BE">
      <w:rPr>
        <w:rStyle w:val="PageNumber"/>
      </w:rPr>
      <w:fldChar w:fldCharType="begin"/>
    </w:r>
    <w:r w:rsidRPr="00C761BE">
      <w:rPr>
        <w:rStyle w:val="PageNumber"/>
      </w:rPr>
      <w:instrText xml:space="preserve"> NUMPAGES </w:instrText>
    </w:r>
    <w:r w:rsidRPr="00C761BE">
      <w:rPr>
        <w:rStyle w:val="PageNumber"/>
      </w:rPr>
      <w:fldChar w:fldCharType="separate"/>
    </w:r>
    <w:r w:rsidR="00396E65">
      <w:rPr>
        <w:rStyle w:val="PageNumber"/>
        <w:noProof/>
      </w:rPr>
      <w:t>45</w:t>
    </w:r>
    <w:r w:rsidRPr="00C761BE">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318E" w:rsidRDefault="004E31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E318E" w:rsidRDefault="004E318E">
      <w:r>
        <w:separator/>
      </w:r>
    </w:p>
  </w:footnote>
  <w:footnote w:type="continuationSeparator" w:id="0">
    <w:p w:rsidR="004E318E" w:rsidRDefault="004E318E">
      <w:r>
        <w:continuationSeparator/>
      </w:r>
    </w:p>
  </w:footnote>
  <w:footnote w:id="1">
    <w:p w:rsidR="004E318E" w:rsidRDefault="004E318E" w:rsidP="00334001">
      <w:pPr>
        <w:pStyle w:val="FootnoteText"/>
      </w:pPr>
      <w:r>
        <w:rPr>
          <w:rStyle w:val="FootnoteReference"/>
        </w:rPr>
        <w:footnoteRef/>
      </w:r>
      <w:r>
        <w:t xml:space="preserve"> Application available in </w:t>
      </w:r>
      <w:hyperlink r:id="rId1" w:history="1">
        <w:r w:rsidRPr="0012264F">
          <w:rPr>
            <w:rStyle w:val="Hyperlink"/>
          </w:rPr>
          <w:t>Oculus</w:t>
        </w:r>
      </w:hyperlink>
      <w:r>
        <w:t>.  (Choose “PUBLIC OCULUS LOGIN.”)</w:t>
      </w:r>
    </w:p>
  </w:footnote>
  <w:footnote w:id="2">
    <w:p w:rsidR="00CF4EEA" w:rsidRDefault="00CF4EEA" w:rsidP="00CF4EEA">
      <w:pPr>
        <w:pStyle w:val="FootnoteText"/>
      </w:pPr>
      <w:r>
        <w:rPr>
          <w:rStyle w:val="FootnoteReference"/>
        </w:rPr>
        <w:footnoteRef/>
      </w:r>
      <w:r>
        <w:t xml:space="preserve"> The Technical Evaluation and Preliminary Determination is included in the original </w:t>
      </w:r>
      <w:hyperlink r:id="rId2" w:history="1">
        <w:r w:rsidRPr="00BB233A">
          <w:rPr>
            <w:rStyle w:val="Hyperlink"/>
          </w:rPr>
          <w:t>Draft Permit package</w:t>
        </w:r>
      </w:hyperlink>
      <w:r>
        <w:t xml:space="preserve">.  The original Final Permit is also available on the </w:t>
      </w:r>
      <w:hyperlink r:id="rId3" w:history="1">
        <w:r w:rsidRPr="00BB233A">
          <w:rPr>
            <w:rStyle w:val="Hyperlink"/>
          </w:rPr>
          <w:t>Department’s website</w:t>
        </w:r>
      </w:hyperlink>
      <w:r>
        <w:t>.</w:t>
      </w:r>
    </w:p>
  </w:footnote>
  <w:footnote w:id="3">
    <w:p w:rsidR="004E318E" w:rsidRDefault="004E318E">
      <w:pPr>
        <w:pStyle w:val="FootnoteText"/>
      </w:pPr>
      <w:r>
        <w:rPr>
          <w:rStyle w:val="FootnoteReference"/>
        </w:rPr>
        <w:footnoteRef/>
      </w:r>
      <w:r>
        <w:t xml:space="preserve"> </w:t>
      </w:r>
      <w:hyperlink r:id="rId4" w:history="1">
        <w:r w:rsidRPr="00C87937">
          <w:rPr>
            <w:rStyle w:val="Hyperlink"/>
          </w:rPr>
          <w:t>Request for Additional Information</w:t>
        </w:r>
      </w:hyperlink>
      <w:r>
        <w:t xml:space="preserve"> and </w:t>
      </w:r>
      <w:hyperlink r:id="rId5" w:history="1">
        <w:r w:rsidRPr="00C87937">
          <w:rPr>
            <w:rStyle w:val="Hyperlink"/>
          </w:rPr>
          <w:t>applicant’s response</w:t>
        </w:r>
      </w:hyperlink>
      <w:r>
        <w:t xml:space="preserve"> available in Oculus.  (Choose “PUBLIC OCULUS LOGIN.”)</w:t>
      </w:r>
    </w:p>
  </w:footnote>
  <w:footnote w:id="4">
    <w:p w:rsidR="004E318E" w:rsidRDefault="004E318E">
      <w:pPr>
        <w:pStyle w:val="FootnoteText"/>
      </w:pPr>
      <w:r>
        <w:rPr>
          <w:rStyle w:val="FootnoteReference"/>
        </w:rPr>
        <w:footnoteRef/>
      </w:r>
      <w:r>
        <w:t xml:space="preserve"> </w:t>
      </w:r>
      <w:hyperlink r:id="rId6" w:history="1">
        <w:r w:rsidRPr="006437D1">
          <w:rPr>
            <w:rStyle w:val="Hyperlink"/>
          </w:rPr>
          <w:t>Technical Evaluation and Preliminary Determination</w:t>
        </w:r>
      </w:hyperlink>
      <w:r>
        <w:t xml:space="preserve"> for Permit No. 0530380-010-AC/PSD-FL-090G</w:t>
      </w:r>
    </w:p>
  </w:footnote>
  <w:footnote w:id="5">
    <w:p w:rsidR="004E318E" w:rsidRDefault="004E318E" w:rsidP="005B2D23">
      <w:pPr>
        <w:pStyle w:val="FootnoteText"/>
      </w:pPr>
      <w:r>
        <w:rPr>
          <w:rStyle w:val="FootnoteReference"/>
        </w:rPr>
        <w:footnoteRef/>
      </w:r>
      <w:r>
        <w:t xml:space="preserve"> Seinfeld, J.H, and S.N. </w:t>
      </w:r>
      <w:proofErr w:type="spellStart"/>
      <w:r>
        <w:t>Pandis</w:t>
      </w:r>
      <w:proofErr w:type="spellEnd"/>
      <w:r>
        <w:t xml:space="preserve">, </w:t>
      </w:r>
      <w:r w:rsidRPr="00B436AE">
        <w:rPr>
          <w:i/>
        </w:rPr>
        <w:t>Atmospheric Chemistry and Physics:  From Air Pollution to Climate Change, Second Edition</w:t>
      </w:r>
      <w:r>
        <w:t>, Wiley, 2006, p. 22.</w:t>
      </w:r>
    </w:p>
  </w:footnote>
  <w:footnote w:id="6">
    <w:p w:rsidR="004E318E" w:rsidRDefault="004E318E" w:rsidP="00A87C4B">
      <w:pPr>
        <w:pStyle w:val="FootnoteText"/>
      </w:pPr>
      <w:r>
        <w:rPr>
          <w:rStyle w:val="FootnoteReference"/>
        </w:rPr>
        <w:footnoteRef/>
      </w:r>
      <w:r>
        <w:t xml:space="preserve"> </w:t>
      </w:r>
      <w:hyperlink r:id="rId7" w:history="1">
        <w:r w:rsidRPr="00825D0F">
          <w:rPr>
            <w:rStyle w:val="Hyperlink"/>
          </w:rPr>
          <w:t>Interagency Monitoring of Protected Visual Environments</w:t>
        </w:r>
      </w:hyperlink>
    </w:p>
  </w:footnote>
  <w:footnote w:id="7">
    <w:p w:rsidR="004E318E" w:rsidRDefault="004E318E" w:rsidP="009F5EE7">
      <w:pPr>
        <w:pStyle w:val="FootnoteText"/>
      </w:pPr>
      <w:r>
        <w:rPr>
          <w:rStyle w:val="FootnoteReference"/>
        </w:rPr>
        <w:footnoteRef/>
      </w:r>
      <w:r>
        <w:t xml:space="preserve"> </w:t>
      </w:r>
      <w:hyperlink r:id="rId8" w:history="1">
        <w:r w:rsidRPr="00C0351D">
          <w:rPr>
            <w:rStyle w:val="Hyperlink"/>
          </w:rPr>
          <w:t>http://www.ipcc.ch/meetings/session25/doc4a4b/vol4.pdf</w:t>
        </w:r>
      </w:hyperlink>
    </w:p>
  </w:footnote>
  <w:footnote w:id="8">
    <w:p w:rsidR="004E318E" w:rsidRDefault="004E318E" w:rsidP="009F5EE7">
      <w:pPr>
        <w:pStyle w:val="FootnoteText"/>
      </w:pPr>
      <w:r>
        <w:rPr>
          <w:rStyle w:val="FootnoteReference"/>
        </w:rPr>
        <w:footnoteRef/>
      </w:r>
      <w:r>
        <w:t xml:space="preserve"> </w:t>
      </w:r>
      <w:hyperlink r:id="rId9" w:history="1">
        <w:r w:rsidRPr="00D76E7C">
          <w:rPr>
            <w:rStyle w:val="Hyperlink"/>
          </w:rPr>
          <w:t>https://yosemite.epa.gov/sab/sabproduct.nsf/0/3235DAC747C16FE985257DA90053F252/$File/Framework-for-Assessing-Biogenic-CO2-Emissions+(Nov+2014).pdf</w:t>
        </w:r>
      </w:hyperlink>
      <w:r>
        <w:tab/>
      </w:r>
    </w:p>
  </w:footnote>
  <w:footnote w:id="9">
    <w:p w:rsidR="004E318E" w:rsidRPr="00895088" w:rsidRDefault="004E318E" w:rsidP="004D0A2D">
      <w:pPr>
        <w:autoSpaceDE w:val="0"/>
        <w:autoSpaceDN w:val="0"/>
        <w:adjustRightInd w:val="0"/>
        <w:rPr>
          <w:sz w:val="19"/>
          <w:szCs w:val="19"/>
        </w:rPr>
      </w:pPr>
      <w:r w:rsidRPr="00895088">
        <w:rPr>
          <w:rStyle w:val="FootnoteReference"/>
        </w:rPr>
        <w:footnoteRef/>
      </w:r>
      <w:r w:rsidRPr="00895088">
        <w:t xml:space="preserve"> </w:t>
      </w:r>
      <w:r w:rsidRPr="00895088">
        <w:rPr>
          <w:sz w:val="19"/>
          <w:szCs w:val="19"/>
        </w:rPr>
        <w:t>Roberts</w:t>
      </w:r>
      <w:r w:rsidRPr="00895088">
        <w:rPr>
          <w:rFonts w:ascii="Cambria Math" w:hAnsi="Cambria Math" w:cs="Cambria Math"/>
          <w:sz w:val="19"/>
          <w:szCs w:val="19"/>
        </w:rPr>
        <w:t>‐</w:t>
      </w:r>
      <w:r w:rsidRPr="00895088">
        <w:rPr>
          <w:sz w:val="19"/>
          <w:szCs w:val="19"/>
        </w:rPr>
        <w:t xml:space="preserve">Ashby, T.L., Brennan, S.T., Merrill, M.D., Blondes, M.S., Freeman, P.A., </w:t>
      </w:r>
      <w:proofErr w:type="spellStart"/>
      <w:r w:rsidRPr="00895088">
        <w:rPr>
          <w:sz w:val="19"/>
          <w:szCs w:val="19"/>
        </w:rPr>
        <w:t>Cahan</w:t>
      </w:r>
      <w:proofErr w:type="spellEnd"/>
      <w:r w:rsidRPr="00895088">
        <w:rPr>
          <w:sz w:val="19"/>
          <w:szCs w:val="19"/>
        </w:rPr>
        <w:t xml:space="preserve">, S.M., </w:t>
      </w:r>
      <w:proofErr w:type="spellStart"/>
      <w:r w:rsidRPr="00895088">
        <w:rPr>
          <w:sz w:val="19"/>
          <w:szCs w:val="19"/>
        </w:rPr>
        <w:t>DeVera</w:t>
      </w:r>
      <w:proofErr w:type="spellEnd"/>
      <w:r w:rsidRPr="00895088">
        <w:rPr>
          <w:sz w:val="19"/>
          <w:szCs w:val="19"/>
        </w:rPr>
        <w:t xml:space="preserve">, C.A., and </w:t>
      </w:r>
      <w:proofErr w:type="spellStart"/>
      <w:r w:rsidRPr="00895088">
        <w:rPr>
          <w:sz w:val="19"/>
          <w:szCs w:val="19"/>
        </w:rPr>
        <w:t>Lohr</w:t>
      </w:r>
      <w:proofErr w:type="spellEnd"/>
      <w:r w:rsidRPr="00895088">
        <w:rPr>
          <w:sz w:val="19"/>
          <w:szCs w:val="19"/>
        </w:rPr>
        <w:t>, C.D.,</w:t>
      </w:r>
    </w:p>
    <w:p w:rsidR="004E318E" w:rsidRPr="00895088" w:rsidRDefault="004E318E" w:rsidP="004D0A2D">
      <w:pPr>
        <w:autoSpaceDE w:val="0"/>
        <w:autoSpaceDN w:val="0"/>
        <w:adjustRightInd w:val="0"/>
        <w:rPr>
          <w:sz w:val="19"/>
          <w:szCs w:val="19"/>
        </w:rPr>
      </w:pPr>
      <w:r w:rsidRPr="00895088">
        <w:rPr>
          <w:sz w:val="19"/>
          <w:szCs w:val="19"/>
        </w:rPr>
        <w:t>2015, Geologic framework for the national assessment of carbon dioxide storage resources—South Florida Basin, chap. L</w:t>
      </w:r>
    </w:p>
    <w:p w:rsidR="004E318E" w:rsidRPr="00895088" w:rsidRDefault="004E318E" w:rsidP="004D0A2D">
      <w:pPr>
        <w:autoSpaceDE w:val="0"/>
        <w:autoSpaceDN w:val="0"/>
        <w:adjustRightInd w:val="0"/>
        <w:rPr>
          <w:rFonts w:ascii="Cambria" w:hAnsi="Cambria" w:cs="Cambria"/>
          <w:sz w:val="19"/>
          <w:szCs w:val="19"/>
        </w:rPr>
      </w:pPr>
      <w:r w:rsidRPr="00895088">
        <w:rPr>
          <w:sz w:val="19"/>
          <w:szCs w:val="19"/>
        </w:rPr>
        <w:t xml:space="preserve">of Warwick, P.D., and </w:t>
      </w:r>
      <w:proofErr w:type="spellStart"/>
      <w:r w:rsidRPr="00895088">
        <w:rPr>
          <w:sz w:val="19"/>
          <w:szCs w:val="19"/>
        </w:rPr>
        <w:t>Corum</w:t>
      </w:r>
      <w:proofErr w:type="spellEnd"/>
      <w:r w:rsidRPr="00895088">
        <w:rPr>
          <w:sz w:val="19"/>
          <w:szCs w:val="19"/>
        </w:rPr>
        <w:t>, M.D., eds., Geologic framework for the national assessment of carbon dioxide storage resources: U.S. Geological Survey Open</w:t>
      </w:r>
      <w:r w:rsidRPr="00895088">
        <w:rPr>
          <w:rFonts w:ascii="Cambria Math" w:hAnsi="Cambria Math" w:cs="Cambria Math"/>
          <w:sz w:val="19"/>
          <w:szCs w:val="19"/>
        </w:rPr>
        <w:t>‐</w:t>
      </w:r>
      <w:r w:rsidRPr="00895088">
        <w:rPr>
          <w:sz w:val="19"/>
          <w:szCs w:val="19"/>
        </w:rPr>
        <w:t xml:space="preserve">File Report 2012-1024-L.  Available at </w:t>
      </w:r>
      <w:hyperlink r:id="rId10" w:history="1">
        <w:r w:rsidRPr="00895088">
          <w:rPr>
            <w:rStyle w:val="Hyperlink"/>
            <w:sz w:val="19"/>
            <w:szCs w:val="19"/>
          </w:rPr>
          <w:t>http://pubs.usgs.gov/of/2012/1024/l/ofr20121024l.pdf</w:t>
        </w:r>
      </w:hyperlink>
      <w:r w:rsidRPr="00895088">
        <w:rPr>
          <w:sz w:val="19"/>
          <w:szCs w:val="19"/>
        </w:rPr>
        <w:t>.</w:t>
      </w:r>
    </w:p>
  </w:footnote>
  <w:footnote w:id="10">
    <w:p w:rsidR="004E318E" w:rsidRDefault="004E318E">
      <w:pPr>
        <w:pStyle w:val="FootnoteText"/>
      </w:pPr>
      <w:r>
        <w:rPr>
          <w:rStyle w:val="FootnoteReference"/>
        </w:rPr>
        <w:footnoteRef/>
      </w:r>
      <w:r>
        <w:t xml:space="preserve"> The Technical Evaluation and Preliminary Determination is included in the original </w:t>
      </w:r>
      <w:hyperlink r:id="rId11" w:history="1">
        <w:r w:rsidRPr="00BB233A">
          <w:rPr>
            <w:rStyle w:val="Hyperlink"/>
          </w:rPr>
          <w:t>Draft Permit package</w:t>
        </w:r>
      </w:hyperlink>
      <w:r>
        <w:t>.</w:t>
      </w:r>
    </w:p>
  </w:footnote>
  <w:footnote w:id="11">
    <w:p w:rsidR="004E318E" w:rsidRDefault="004E318E" w:rsidP="007A792F">
      <w:pPr>
        <w:pStyle w:val="FootnoteText"/>
      </w:pPr>
      <w:r>
        <w:rPr>
          <w:rStyle w:val="FootnoteReference"/>
        </w:rPr>
        <w:footnoteRef/>
      </w:r>
      <w:r>
        <w:t xml:space="preserve"> U.S. EPA’s Draft “</w:t>
      </w:r>
      <w:hyperlink r:id="rId12" w:history="1">
        <w:r w:rsidRPr="00F559A1">
          <w:rPr>
            <w:rStyle w:val="Hyperlink"/>
          </w:rPr>
          <w:t>Guidance on Significant Impact Levels for Ozone and Fine Particles in the Prevention of Significant Deterioration Permitting Program</w:t>
        </w:r>
      </w:hyperlink>
      <w:r>
        <w:t>,” August 18, 2016.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318E" w:rsidRDefault="004E318E">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318E" w:rsidRDefault="004E31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D13D45"/>
    <w:multiLevelType w:val="hybridMultilevel"/>
    <w:tmpl w:val="68005D14"/>
    <w:lvl w:ilvl="0" w:tplc="04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3F6446"/>
    <w:multiLevelType w:val="hybridMultilevel"/>
    <w:tmpl w:val="590ED8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E47E57"/>
    <w:multiLevelType w:val="hybridMultilevel"/>
    <w:tmpl w:val="3CA01FC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0875F9"/>
    <w:multiLevelType w:val="hybridMultilevel"/>
    <w:tmpl w:val="091E22EC"/>
    <w:lvl w:ilvl="0" w:tplc="0D40AE10">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D80848"/>
    <w:multiLevelType w:val="hybridMultilevel"/>
    <w:tmpl w:val="84042DCE"/>
    <w:lvl w:ilvl="0" w:tplc="04090001">
      <w:start w:val="1"/>
      <w:numFmt w:val="bullet"/>
      <w:lvlText w:val=""/>
      <w:lvlJc w:val="left"/>
      <w:pPr>
        <w:tabs>
          <w:tab w:val="num" w:pos="720"/>
        </w:tabs>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675D12"/>
    <w:multiLevelType w:val="multilevel"/>
    <w:tmpl w:val="5B52EFDA"/>
    <w:lvl w:ilvl="0">
      <w:start w:val="1"/>
      <w:numFmt w:val="decimal"/>
      <w:lvlText w:val="%1."/>
      <w:lvlJc w:val="left"/>
      <w:pPr>
        <w:ind w:left="360" w:hanging="360"/>
      </w:pPr>
      <w:rPr>
        <w:rFonts w:hint="default"/>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b/>
      </w:rPr>
    </w:lvl>
    <w:lvl w:ilvl="3">
      <w:start w:val="1"/>
      <w:numFmt w:val="decimal"/>
      <w:lvlText w:val="%1.%2.%3.%4."/>
      <w:lvlJc w:val="left"/>
      <w:pPr>
        <w:ind w:left="1728" w:hanging="648"/>
      </w:pPr>
      <w:rPr>
        <w:b/>
        <w:i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E836D97"/>
    <w:multiLevelType w:val="hybridMultilevel"/>
    <w:tmpl w:val="0BF66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5E2F8A"/>
    <w:multiLevelType w:val="hybridMultilevel"/>
    <w:tmpl w:val="082023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2F0C9F"/>
    <w:multiLevelType w:val="hybridMultilevel"/>
    <w:tmpl w:val="A42EE81A"/>
    <w:lvl w:ilvl="0" w:tplc="B6DCAD10">
      <w:start w:val="1"/>
      <w:numFmt w:val="decimal"/>
      <w:lvlText w:val="%1."/>
      <w:lvlJc w:val="left"/>
      <w:pPr>
        <w:ind w:left="720" w:hanging="360"/>
      </w:pPr>
      <w:rPr>
        <w:rFonts w:hint="default"/>
        <w:b w:val="0"/>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7F6B31"/>
    <w:multiLevelType w:val="hybridMultilevel"/>
    <w:tmpl w:val="1FC07BAC"/>
    <w:lvl w:ilvl="0" w:tplc="82849EA8">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1915611B"/>
    <w:multiLevelType w:val="hybridMultilevel"/>
    <w:tmpl w:val="1688B662"/>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9767E75"/>
    <w:multiLevelType w:val="multilevel"/>
    <w:tmpl w:val="6B946910"/>
    <w:lvl w:ilvl="0">
      <w:start w:val="1"/>
      <w:numFmt w:val="decimal"/>
      <w:lvlText w:val="%1."/>
      <w:lvlJc w:val="left"/>
      <w:pPr>
        <w:tabs>
          <w:tab w:val="num" w:pos="360"/>
        </w:tabs>
        <w:ind w:left="360" w:hanging="360"/>
      </w:pPr>
      <w:rPr>
        <w:rFonts w:hint="default"/>
        <w:b/>
        <w:i w:val="0"/>
      </w:rPr>
    </w:lvl>
    <w:lvl w:ilvl="1">
      <w:start w:val="1"/>
      <w:numFmt w:val="decimal"/>
      <w:lvlText w:val="%1.%2."/>
      <w:lvlJc w:val="left"/>
      <w:pPr>
        <w:tabs>
          <w:tab w:val="num" w:pos="8082"/>
        </w:tabs>
        <w:ind w:left="808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19965195"/>
    <w:multiLevelType w:val="hybridMultilevel"/>
    <w:tmpl w:val="5FAE102E"/>
    <w:lvl w:ilvl="0" w:tplc="166CA7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46121C"/>
    <w:multiLevelType w:val="hybridMultilevel"/>
    <w:tmpl w:val="CC4E6492"/>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FB344F6"/>
    <w:multiLevelType w:val="hybridMultilevel"/>
    <w:tmpl w:val="158E5B16"/>
    <w:lvl w:ilvl="0" w:tplc="DBDAD10E">
      <w:start w:val="1"/>
      <w:numFmt w:val="lowerLetter"/>
      <w:lvlText w:val="%1."/>
      <w:lvlJc w:val="left"/>
      <w:pPr>
        <w:tabs>
          <w:tab w:val="num" w:pos="1440"/>
        </w:tabs>
        <w:ind w:left="1440" w:hanging="360"/>
      </w:pPr>
      <w:rPr>
        <w:rFonts w:hint="default"/>
        <w:sz w:val="16"/>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6" w15:restartNumberingAfterBreak="0">
    <w:nsid w:val="258E767E"/>
    <w:multiLevelType w:val="hybridMultilevel"/>
    <w:tmpl w:val="8C4CA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BF0912"/>
    <w:multiLevelType w:val="hybridMultilevel"/>
    <w:tmpl w:val="5F7EF2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0B7962"/>
    <w:multiLevelType w:val="hybridMultilevel"/>
    <w:tmpl w:val="13AE5CBE"/>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C195879"/>
    <w:multiLevelType w:val="hybridMultilevel"/>
    <w:tmpl w:val="A2B0CB0A"/>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456942"/>
    <w:multiLevelType w:val="hybridMultilevel"/>
    <w:tmpl w:val="A5068A42"/>
    <w:lvl w:ilvl="0" w:tplc="04090001">
      <w:start w:val="1"/>
      <w:numFmt w:val="bullet"/>
      <w:lvlText w:val=""/>
      <w:lvlJc w:val="left"/>
      <w:pPr>
        <w:tabs>
          <w:tab w:val="num" w:pos="1170"/>
        </w:tabs>
        <w:ind w:left="1170" w:hanging="360"/>
      </w:pPr>
      <w:rPr>
        <w:rFonts w:ascii="Symbol" w:hAnsi="Symbol" w:hint="default"/>
      </w:rPr>
    </w:lvl>
    <w:lvl w:ilvl="1" w:tplc="04090003">
      <w:start w:val="1"/>
      <w:numFmt w:val="bullet"/>
      <w:lvlText w:val="o"/>
      <w:lvlJc w:val="left"/>
      <w:pPr>
        <w:tabs>
          <w:tab w:val="num" w:pos="1890"/>
        </w:tabs>
        <w:ind w:left="1890" w:hanging="360"/>
      </w:pPr>
      <w:rPr>
        <w:rFonts w:ascii="Courier New" w:hAnsi="Courier New" w:hint="default"/>
      </w:rPr>
    </w:lvl>
    <w:lvl w:ilvl="2" w:tplc="04090005" w:tentative="1">
      <w:start w:val="1"/>
      <w:numFmt w:val="bullet"/>
      <w:lvlText w:val=""/>
      <w:lvlJc w:val="left"/>
      <w:pPr>
        <w:tabs>
          <w:tab w:val="num" w:pos="2610"/>
        </w:tabs>
        <w:ind w:left="2610" w:hanging="360"/>
      </w:pPr>
      <w:rPr>
        <w:rFonts w:ascii="Wingdings" w:hAnsi="Wingdings" w:hint="default"/>
      </w:rPr>
    </w:lvl>
    <w:lvl w:ilvl="3" w:tplc="04090001" w:tentative="1">
      <w:start w:val="1"/>
      <w:numFmt w:val="bullet"/>
      <w:lvlText w:val=""/>
      <w:lvlJc w:val="left"/>
      <w:pPr>
        <w:tabs>
          <w:tab w:val="num" w:pos="3330"/>
        </w:tabs>
        <w:ind w:left="3330" w:hanging="360"/>
      </w:pPr>
      <w:rPr>
        <w:rFonts w:ascii="Symbol" w:hAnsi="Symbol" w:hint="default"/>
      </w:rPr>
    </w:lvl>
    <w:lvl w:ilvl="4" w:tplc="04090003" w:tentative="1">
      <w:start w:val="1"/>
      <w:numFmt w:val="bullet"/>
      <w:lvlText w:val="o"/>
      <w:lvlJc w:val="left"/>
      <w:pPr>
        <w:tabs>
          <w:tab w:val="num" w:pos="4050"/>
        </w:tabs>
        <w:ind w:left="4050" w:hanging="360"/>
      </w:pPr>
      <w:rPr>
        <w:rFonts w:ascii="Courier New" w:hAnsi="Courier New" w:hint="default"/>
      </w:rPr>
    </w:lvl>
    <w:lvl w:ilvl="5" w:tplc="04090005" w:tentative="1">
      <w:start w:val="1"/>
      <w:numFmt w:val="bullet"/>
      <w:lvlText w:val=""/>
      <w:lvlJc w:val="left"/>
      <w:pPr>
        <w:tabs>
          <w:tab w:val="num" w:pos="4770"/>
        </w:tabs>
        <w:ind w:left="4770" w:hanging="360"/>
      </w:pPr>
      <w:rPr>
        <w:rFonts w:ascii="Wingdings" w:hAnsi="Wingdings" w:hint="default"/>
      </w:rPr>
    </w:lvl>
    <w:lvl w:ilvl="6" w:tplc="04090001" w:tentative="1">
      <w:start w:val="1"/>
      <w:numFmt w:val="bullet"/>
      <w:lvlText w:val=""/>
      <w:lvlJc w:val="left"/>
      <w:pPr>
        <w:tabs>
          <w:tab w:val="num" w:pos="5490"/>
        </w:tabs>
        <w:ind w:left="5490" w:hanging="360"/>
      </w:pPr>
      <w:rPr>
        <w:rFonts w:ascii="Symbol" w:hAnsi="Symbol" w:hint="default"/>
      </w:rPr>
    </w:lvl>
    <w:lvl w:ilvl="7" w:tplc="04090003" w:tentative="1">
      <w:start w:val="1"/>
      <w:numFmt w:val="bullet"/>
      <w:lvlText w:val="o"/>
      <w:lvlJc w:val="left"/>
      <w:pPr>
        <w:tabs>
          <w:tab w:val="num" w:pos="6210"/>
        </w:tabs>
        <w:ind w:left="6210" w:hanging="360"/>
      </w:pPr>
      <w:rPr>
        <w:rFonts w:ascii="Courier New" w:hAnsi="Courier New" w:hint="default"/>
      </w:rPr>
    </w:lvl>
    <w:lvl w:ilvl="8" w:tplc="04090005" w:tentative="1">
      <w:start w:val="1"/>
      <w:numFmt w:val="bullet"/>
      <w:lvlText w:val=""/>
      <w:lvlJc w:val="left"/>
      <w:pPr>
        <w:tabs>
          <w:tab w:val="num" w:pos="6930"/>
        </w:tabs>
        <w:ind w:left="6930" w:hanging="360"/>
      </w:pPr>
      <w:rPr>
        <w:rFonts w:ascii="Wingdings" w:hAnsi="Wingdings" w:hint="default"/>
      </w:rPr>
    </w:lvl>
  </w:abstractNum>
  <w:abstractNum w:abstractNumId="21" w15:restartNumberingAfterBreak="0">
    <w:nsid w:val="3D147318"/>
    <w:multiLevelType w:val="hybridMultilevel"/>
    <w:tmpl w:val="3BF47942"/>
    <w:lvl w:ilvl="0" w:tplc="E1622400">
      <w:start w:val="1"/>
      <w:numFmt w:val="bullet"/>
      <w:lvlText w:val=""/>
      <w:lvlJc w:val="left"/>
      <w:pPr>
        <w:tabs>
          <w:tab w:val="num" w:pos="504"/>
        </w:tabs>
        <w:ind w:left="504" w:hanging="50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420049C6"/>
    <w:multiLevelType w:val="hybridMultilevel"/>
    <w:tmpl w:val="C61E07F0"/>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7E08D2"/>
    <w:multiLevelType w:val="hybridMultilevel"/>
    <w:tmpl w:val="3FDE795C"/>
    <w:lvl w:ilvl="0" w:tplc="04090001">
      <w:start w:val="1"/>
      <w:numFmt w:val="bullet"/>
      <w:lvlText w:val=""/>
      <w:lvlJc w:val="left"/>
      <w:pPr>
        <w:tabs>
          <w:tab w:val="num" w:pos="360"/>
        </w:tabs>
        <w:ind w:left="360" w:hanging="360"/>
      </w:pPr>
      <w:rPr>
        <w:rFonts w:ascii="Symbol" w:hAnsi="Symbol" w:hint="default"/>
      </w:rPr>
    </w:lvl>
    <w:lvl w:ilvl="1" w:tplc="A134C952">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4D504992"/>
    <w:multiLevelType w:val="hybridMultilevel"/>
    <w:tmpl w:val="488CB684"/>
    <w:lvl w:ilvl="0" w:tplc="E1622400">
      <w:start w:val="1"/>
      <w:numFmt w:val="bullet"/>
      <w:lvlText w:val=""/>
      <w:lvlJc w:val="left"/>
      <w:pPr>
        <w:tabs>
          <w:tab w:val="num" w:pos="504"/>
        </w:tabs>
        <w:ind w:left="504" w:hanging="50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D8418F0"/>
    <w:multiLevelType w:val="multilevel"/>
    <w:tmpl w:val="08A02AAA"/>
    <w:lvl w:ilvl="0">
      <w:start w:val="1"/>
      <w:numFmt w:val="decimal"/>
      <w:lvlText w:val="%1."/>
      <w:lvlJc w:val="left"/>
      <w:pPr>
        <w:ind w:left="360" w:hanging="360"/>
      </w:pPr>
      <w:rPr>
        <w:rFonts w:hint="default"/>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36762D7"/>
    <w:multiLevelType w:val="hybridMultilevel"/>
    <w:tmpl w:val="4EC425D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8" w15:restartNumberingAfterBreak="0">
    <w:nsid w:val="570D526B"/>
    <w:multiLevelType w:val="multilevel"/>
    <w:tmpl w:val="488CB684"/>
    <w:lvl w:ilvl="0">
      <w:start w:val="1"/>
      <w:numFmt w:val="bullet"/>
      <w:lvlText w:val=""/>
      <w:lvlJc w:val="left"/>
      <w:pPr>
        <w:tabs>
          <w:tab w:val="num" w:pos="504"/>
        </w:tabs>
        <w:ind w:left="504" w:hanging="504"/>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B0317A4"/>
    <w:multiLevelType w:val="hybridMultilevel"/>
    <w:tmpl w:val="6ABE6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007E29"/>
    <w:multiLevelType w:val="hybridMultilevel"/>
    <w:tmpl w:val="6CCE7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0814BD"/>
    <w:multiLevelType w:val="hybridMultilevel"/>
    <w:tmpl w:val="793A3790"/>
    <w:lvl w:ilvl="0" w:tplc="87A426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9D26C8"/>
    <w:multiLevelType w:val="hybridMultilevel"/>
    <w:tmpl w:val="0DEA24C0"/>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4E12EB"/>
    <w:multiLevelType w:val="hybridMultilevel"/>
    <w:tmpl w:val="98A69B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22"/>
  </w:num>
  <w:num w:numId="2">
    <w:abstractNumId w:val="24"/>
  </w:num>
  <w:num w:numId="3">
    <w:abstractNumId w:val="21"/>
  </w:num>
  <w:num w:numId="4">
    <w:abstractNumId w:val="25"/>
  </w:num>
  <w:num w:numId="5">
    <w:abstractNumId w:val="28"/>
  </w:num>
  <w:num w:numId="6">
    <w:abstractNumId w:val="14"/>
  </w:num>
  <w:num w:numId="7">
    <w:abstractNumId w:val="10"/>
  </w:num>
  <w:num w:numId="8">
    <w:abstractNumId w:val="19"/>
  </w:num>
  <w:num w:numId="9">
    <w:abstractNumId w:val="32"/>
  </w:num>
  <w:num w:numId="10">
    <w:abstractNumId w:val="11"/>
  </w:num>
  <w:num w:numId="11">
    <w:abstractNumId w:val="18"/>
  </w:num>
  <w:num w:numId="12">
    <w:abstractNumId w:val="23"/>
  </w:num>
  <w:num w:numId="13">
    <w:abstractNumId w:val="27"/>
  </w:num>
  <w:num w:numId="14">
    <w:abstractNumId w:val="2"/>
  </w:num>
  <w:num w:numId="15">
    <w:abstractNumId w:val="6"/>
  </w:num>
  <w:num w:numId="16">
    <w:abstractNumId w:val="31"/>
  </w:num>
  <w:num w:numId="17">
    <w:abstractNumId w:val="4"/>
  </w:num>
  <w:num w:numId="18">
    <w:abstractNumId w:val="13"/>
  </w:num>
  <w:num w:numId="19">
    <w:abstractNumId w:val="20"/>
  </w:num>
  <w:num w:numId="20">
    <w:abstractNumId w:val="12"/>
  </w:num>
  <w:num w:numId="21">
    <w:abstractNumId w:val="16"/>
  </w:num>
  <w:num w:numId="22">
    <w:abstractNumId w:val="29"/>
  </w:num>
  <w:num w:numId="2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num>
  <w:num w:numId="25">
    <w:abstractNumId w:val="3"/>
  </w:num>
  <w:num w:numId="26">
    <w:abstractNumId w:val="5"/>
  </w:num>
  <w:num w:numId="27">
    <w:abstractNumId w:val="8"/>
  </w:num>
  <w:num w:numId="28">
    <w:abstractNumId w:val="7"/>
  </w:num>
  <w:num w:numId="29">
    <w:abstractNumId w:val="26"/>
  </w:num>
  <w:num w:numId="30">
    <w:abstractNumId w:val="30"/>
  </w:num>
  <w:num w:numId="31">
    <w:abstractNumId w:val="1"/>
  </w:num>
  <w:num w:numId="32">
    <w:abstractNumId w:val="9"/>
  </w:num>
  <w:num w:numId="33">
    <w:abstractNumId w:val="33"/>
  </w:num>
  <w:num w:numId="34">
    <w:abstractNumId w:val="0"/>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052AF"/>
    <w:rsid w:val="0000535B"/>
    <w:rsid w:val="00007728"/>
    <w:rsid w:val="0001633E"/>
    <w:rsid w:val="00020211"/>
    <w:rsid w:val="0002154E"/>
    <w:rsid w:val="000254A3"/>
    <w:rsid w:val="00025B89"/>
    <w:rsid w:val="0002614F"/>
    <w:rsid w:val="000275CB"/>
    <w:rsid w:val="000351AE"/>
    <w:rsid w:val="00041969"/>
    <w:rsid w:val="0005256D"/>
    <w:rsid w:val="000616EB"/>
    <w:rsid w:val="000636BE"/>
    <w:rsid w:val="0007601A"/>
    <w:rsid w:val="0007653A"/>
    <w:rsid w:val="0008112E"/>
    <w:rsid w:val="00083F1D"/>
    <w:rsid w:val="00091A78"/>
    <w:rsid w:val="0009570B"/>
    <w:rsid w:val="00097E76"/>
    <w:rsid w:val="000A0612"/>
    <w:rsid w:val="000A072C"/>
    <w:rsid w:val="000A3AD7"/>
    <w:rsid w:val="000A7460"/>
    <w:rsid w:val="000B3948"/>
    <w:rsid w:val="000B4491"/>
    <w:rsid w:val="000B7525"/>
    <w:rsid w:val="000B7CC2"/>
    <w:rsid w:val="000B7F2A"/>
    <w:rsid w:val="000C0EC1"/>
    <w:rsid w:val="000C58EC"/>
    <w:rsid w:val="000D0B0D"/>
    <w:rsid w:val="000D1AF4"/>
    <w:rsid w:val="000E1762"/>
    <w:rsid w:val="000E3227"/>
    <w:rsid w:val="000E6707"/>
    <w:rsid w:val="000E7643"/>
    <w:rsid w:val="000F17C9"/>
    <w:rsid w:val="000F3615"/>
    <w:rsid w:val="000F455B"/>
    <w:rsid w:val="000F7233"/>
    <w:rsid w:val="00105CFF"/>
    <w:rsid w:val="00114045"/>
    <w:rsid w:val="0011488A"/>
    <w:rsid w:val="00115541"/>
    <w:rsid w:val="0012264F"/>
    <w:rsid w:val="00122C6C"/>
    <w:rsid w:val="00125384"/>
    <w:rsid w:val="00141C84"/>
    <w:rsid w:val="001454AD"/>
    <w:rsid w:val="00155062"/>
    <w:rsid w:val="00160B66"/>
    <w:rsid w:val="00162CFD"/>
    <w:rsid w:val="00183DED"/>
    <w:rsid w:val="00183F06"/>
    <w:rsid w:val="00190881"/>
    <w:rsid w:val="00190915"/>
    <w:rsid w:val="001935E1"/>
    <w:rsid w:val="00193F10"/>
    <w:rsid w:val="001947D8"/>
    <w:rsid w:val="00194927"/>
    <w:rsid w:val="001A480F"/>
    <w:rsid w:val="001C0B0F"/>
    <w:rsid w:val="001C6F41"/>
    <w:rsid w:val="001D4E0D"/>
    <w:rsid w:val="001E5937"/>
    <w:rsid w:val="001F1F99"/>
    <w:rsid w:val="001F45B2"/>
    <w:rsid w:val="001F66F3"/>
    <w:rsid w:val="00205773"/>
    <w:rsid w:val="0021017D"/>
    <w:rsid w:val="002114F4"/>
    <w:rsid w:val="0023307B"/>
    <w:rsid w:val="00244FCE"/>
    <w:rsid w:val="00246E13"/>
    <w:rsid w:val="00252A9A"/>
    <w:rsid w:val="00257280"/>
    <w:rsid w:val="0026404E"/>
    <w:rsid w:val="00264AA9"/>
    <w:rsid w:val="0027154E"/>
    <w:rsid w:val="002757D9"/>
    <w:rsid w:val="002863DB"/>
    <w:rsid w:val="00287066"/>
    <w:rsid w:val="00287A29"/>
    <w:rsid w:val="002A16DD"/>
    <w:rsid w:val="002A1838"/>
    <w:rsid w:val="002A247A"/>
    <w:rsid w:val="002B022D"/>
    <w:rsid w:val="002B0483"/>
    <w:rsid w:val="002C0BB4"/>
    <w:rsid w:val="002D13E5"/>
    <w:rsid w:val="002D698B"/>
    <w:rsid w:val="002D7646"/>
    <w:rsid w:val="002E2BDE"/>
    <w:rsid w:val="002E3095"/>
    <w:rsid w:val="002F36EB"/>
    <w:rsid w:val="00301492"/>
    <w:rsid w:val="00310102"/>
    <w:rsid w:val="0031421F"/>
    <w:rsid w:val="00334001"/>
    <w:rsid w:val="00336D3A"/>
    <w:rsid w:val="00337A76"/>
    <w:rsid w:val="00354D1F"/>
    <w:rsid w:val="0035560D"/>
    <w:rsid w:val="00356646"/>
    <w:rsid w:val="00356BFE"/>
    <w:rsid w:val="0036038C"/>
    <w:rsid w:val="0036716F"/>
    <w:rsid w:val="003722E3"/>
    <w:rsid w:val="0037519B"/>
    <w:rsid w:val="00384677"/>
    <w:rsid w:val="0039291B"/>
    <w:rsid w:val="00393743"/>
    <w:rsid w:val="00396E65"/>
    <w:rsid w:val="003B6C79"/>
    <w:rsid w:val="003C2393"/>
    <w:rsid w:val="003D7B0B"/>
    <w:rsid w:val="003E3126"/>
    <w:rsid w:val="003F030F"/>
    <w:rsid w:val="003F3431"/>
    <w:rsid w:val="003F765B"/>
    <w:rsid w:val="00402441"/>
    <w:rsid w:val="004027AC"/>
    <w:rsid w:val="00411999"/>
    <w:rsid w:val="00425388"/>
    <w:rsid w:val="00430341"/>
    <w:rsid w:val="004434F5"/>
    <w:rsid w:val="00447A52"/>
    <w:rsid w:val="00452F5B"/>
    <w:rsid w:val="00453940"/>
    <w:rsid w:val="00463439"/>
    <w:rsid w:val="0046637C"/>
    <w:rsid w:val="00472D32"/>
    <w:rsid w:val="00475AE0"/>
    <w:rsid w:val="004769E4"/>
    <w:rsid w:val="00485F24"/>
    <w:rsid w:val="004C35F8"/>
    <w:rsid w:val="004D0A2D"/>
    <w:rsid w:val="004E318E"/>
    <w:rsid w:val="004F5587"/>
    <w:rsid w:val="0051177F"/>
    <w:rsid w:val="00513146"/>
    <w:rsid w:val="00521B03"/>
    <w:rsid w:val="005325B9"/>
    <w:rsid w:val="0054217E"/>
    <w:rsid w:val="00542288"/>
    <w:rsid w:val="005439C7"/>
    <w:rsid w:val="00563827"/>
    <w:rsid w:val="00583363"/>
    <w:rsid w:val="00584D97"/>
    <w:rsid w:val="005A26C9"/>
    <w:rsid w:val="005A4C55"/>
    <w:rsid w:val="005B2D23"/>
    <w:rsid w:val="005B71CD"/>
    <w:rsid w:val="005B724D"/>
    <w:rsid w:val="005D1870"/>
    <w:rsid w:val="005F33A2"/>
    <w:rsid w:val="005F3A86"/>
    <w:rsid w:val="005F4DF4"/>
    <w:rsid w:val="005F5A1C"/>
    <w:rsid w:val="006057C2"/>
    <w:rsid w:val="00614117"/>
    <w:rsid w:val="00621A4A"/>
    <w:rsid w:val="006244D4"/>
    <w:rsid w:val="00625B42"/>
    <w:rsid w:val="006437D1"/>
    <w:rsid w:val="00644E48"/>
    <w:rsid w:val="00647078"/>
    <w:rsid w:val="00656372"/>
    <w:rsid w:val="0066437C"/>
    <w:rsid w:val="006718B6"/>
    <w:rsid w:val="00680637"/>
    <w:rsid w:val="00687A6E"/>
    <w:rsid w:val="00691BCD"/>
    <w:rsid w:val="006A4213"/>
    <w:rsid w:val="006B7761"/>
    <w:rsid w:val="006C2339"/>
    <w:rsid w:val="006C3F2B"/>
    <w:rsid w:val="006C4EE1"/>
    <w:rsid w:val="006F4F9E"/>
    <w:rsid w:val="00700C27"/>
    <w:rsid w:val="00724F74"/>
    <w:rsid w:val="00730A21"/>
    <w:rsid w:val="00730F9C"/>
    <w:rsid w:val="00741F1A"/>
    <w:rsid w:val="00742707"/>
    <w:rsid w:val="00746205"/>
    <w:rsid w:val="0075443E"/>
    <w:rsid w:val="00761577"/>
    <w:rsid w:val="00775E68"/>
    <w:rsid w:val="007938AA"/>
    <w:rsid w:val="00794FBF"/>
    <w:rsid w:val="007975B0"/>
    <w:rsid w:val="007A792F"/>
    <w:rsid w:val="007D1A14"/>
    <w:rsid w:val="007E2B65"/>
    <w:rsid w:val="007E603A"/>
    <w:rsid w:val="007E7A1B"/>
    <w:rsid w:val="007F0583"/>
    <w:rsid w:val="007F66CB"/>
    <w:rsid w:val="007F6A14"/>
    <w:rsid w:val="008028FE"/>
    <w:rsid w:val="008072A7"/>
    <w:rsid w:val="00810370"/>
    <w:rsid w:val="00822A68"/>
    <w:rsid w:val="00822AAB"/>
    <w:rsid w:val="00824057"/>
    <w:rsid w:val="00824E76"/>
    <w:rsid w:val="00826A20"/>
    <w:rsid w:val="00834218"/>
    <w:rsid w:val="00844FE5"/>
    <w:rsid w:val="00851893"/>
    <w:rsid w:val="0085293A"/>
    <w:rsid w:val="00881709"/>
    <w:rsid w:val="00885507"/>
    <w:rsid w:val="008A219C"/>
    <w:rsid w:val="008A39DD"/>
    <w:rsid w:val="008A7C45"/>
    <w:rsid w:val="008B19E3"/>
    <w:rsid w:val="008B1C63"/>
    <w:rsid w:val="008B471B"/>
    <w:rsid w:val="008C3579"/>
    <w:rsid w:val="008D159A"/>
    <w:rsid w:val="008E687E"/>
    <w:rsid w:val="00904D47"/>
    <w:rsid w:val="0090758D"/>
    <w:rsid w:val="00914B2C"/>
    <w:rsid w:val="00930774"/>
    <w:rsid w:val="00941417"/>
    <w:rsid w:val="0094155F"/>
    <w:rsid w:val="0095034B"/>
    <w:rsid w:val="00962520"/>
    <w:rsid w:val="00963859"/>
    <w:rsid w:val="00967661"/>
    <w:rsid w:val="00967B22"/>
    <w:rsid w:val="00975EF6"/>
    <w:rsid w:val="00986B8C"/>
    <w:rsid w:val="00987259"/>
    <w:rsid w:val="009903C7"/>
    <w:rsid w:val="0099159F"/>
    <w:rsid w:val="009949C2"/>
    <w:rsid w:val="009963E9"/>
    <w:rsid w:val="009B5EE2"/>
    <w:rsid w:val="009C691C"/>
    <w:rsid w:val="009C78A9"/>
    <w:rsid w:val="009E4266"/>
    <w:rsid w:val="009E7500"/>
    <w:rsid w:val="009E79DE"/>
    <w:rsid w:val="009F462C"/>
    <w:rsid w:val="009F5EE7"/>
    <w:rsid w:val="00A03FBF"/>
    <w:rsid w:val="00A10887"/>
    <w:rsid w:val="00A17267"/>
    <w:rsid w:val="00A2068C"/>
    <w:rsid w:val="00A2237D"/>
    <w:rsid w:val="00A26278"/>
    <w:rsid w:val="00A27AE9"/>
    <w:rsid w:val="00A31D67"/>
    <w:rsid w:val="00A421EC"/>
    <w:rsid w:val="00A46013"/>
    <w:rsid w:val="00A60D83"/>
    <w:rsid w:val="00A629BE"/>
    <w:rsid w:val="00A64D36"/>
    <w:rsid w:val="00A81131"/>
    <w:rsid w:val="00A843D2"/>
    <w:rsid w:val="00A85745"/>
    <w:rsid w:val="00A87C4B"/>
    <w:rsid w:val="00A91862"/>
    <w:rsid w:val="00AB0FE4"/>
    <w:rsid w:val="00AB0FF9"/>
    <w:rsid w:val="00AB2A83"/>
    <w:rsid w:val="00AC7988"/>
    <w:rsid w:val="00AD362C"/>
    <w:rsid w:val="00AD7B43"/>
    <w:rsid w:val="00AE5CF7"/>
    <w:rsid w:val="00AF374A"/>
    <w:rsid w:val="00AF6F91"/>
    <w:rsid w:val="00B02664"/>
    <w:rsid w:val="00B06156"/>
    <w:rsid w:val="00B066E6"/>
    <w:rsid w:val="00B144E8"/>
    <w:rsid w:val="00B275D6"/>
    <w:rsid w:val="00B27670"/>
    <w:rsid w:val="00B31F3A"/>
    <w:rsid w:val="00B54F42"/>
    <w:rsid w:val="00B61B5F"/>
    <w:rsid w:val="00B62628"/>
    <w:rsid w:val="00B70D40"/>
    <w:rsid w:val="00B8406E"/>
    <w:rsid w:val="00B86F0A"/>
    <w:rsid w:val="00B91A35"/>
    <w:rsid w:val="00BA5049"/>
    <w:rsid w:val="00BA63D4"/>
    <w:rsid w:val="00BB233A"/>
    <w:rsid w:val="00BC194E"/>
    <w:rsid w:val="00BD2598"/>
    <w:rsid w:val="00BD60AC"/>
    <w:rsid w:val="00BE082B"/>
    <w:rsid w:val="00BE1EDF"/>
    <w:rsid w:val="00BE69A9"/>
    <w:rsid w:val="00BE739A"/>
    <w:rsid w:val="00BF77BC"/>
    <w:rsid w:val="00C121D0"/>
    <w:rsid w:val="00C12C89"/>
    <w:rsid w:val="00C13415"/>
    <w:rsid w:val="00C2362E"/>
    <w:rsid w:val="00C323B3"/>
    <w:rsid w:val="00C40694"/>
    <w:rsid w:val="00C42892"/>
    <w:rsid w:val="00C472AA"/>
    <w:rsid w:val="00C51269"/>
    <w:rsid w:val="00C558A7"/>
    <w:rsid w:val="00C606F7"/>
    <w:rsid w:val="00C761BE"/>
    <w:rsid w:val="00C83AF5"/>
    <w:rsid w:val="00C87937"/>
    <w:rsid w:val="00C92342"/>
    <w:rsid w:val="00CA11BB"/>
    <w:rsid w:val="00CB2694"/>
    <w:rsid w:val="00CB33F9"/>
    <w:rsid w:val="00CC39B8"/>
    <w:rsid w:val="00CC75CA"/>
    <w:rsid w:val="00CE46E3"/>
    <w:rsid w:val="00CF4EEA"/>
    <w:rsid w:val="00D04756"/>
    <w:rsid w:val="00D05DCB"/>
    <w:rsid w:val="00D329BC"/>
    <w:rsid w:val="00D44902"/>
    <w:rsid w:val="00D53A2B"/>
    <w:rsid w:val="00D54D29"/>
    <w:rsid w:val="00D6579A"/>
    <w:rsid w:val="00D73181"/>
    <w:rsid w:val="00D87101"/>
    <w:rsid w:val="00D921F1"/>
    <w:rsid w:val="00D964B4"/>
    <w:rsid w:val="00DA0489"/>
    <w:rsid w:val="00DA1D28"/>
    <w:rsid w:val="00DB15E9"/>
    <w:rsid w:val="00DB4E11"/>
    <w:rsid w:val="00DC1CEA"/>
    <w:rsid w:val="00DC64D7"/>
    <w:rsid w:val="00DC701B"/>
    <w:rsid w:val="00DC7CC3"/>
    <w:rsid w:val="00DD4E04"/>
    <w:rsid w:val="00DE0659"/>
    <w:rsid w:val="00DE589A"/>
    <w:rsid w:val="00DE7462"/>
    <w:rsid w:val="00DF7F7A"/>
    <w:rsid w:val="00E03D0F"/>
    <w:rsid w:val="00E0450A"/>
    <w:rsid w:val="00E06F03"/>
    <w:rsid w:val="00E14078"/>
    <w:rsid w:val="00E15963"/>
    <w:rsid w:val="00E57C48"/>
    <w:rsid w:val="00E607EE"/>
    <w:rsid w:val="00E67697"/>
    <w:rsid w:val="00E716DD"/>
    <w:rsid w:val="00E7226C"/>
    <w:rsid w:val="00E81800"/>
    <w:rsid w:val="00E90AE3"/>
    <w:rsid w:val="00EA7A5B"/>
    <w:rsid w:val="00EB3D60"/>
    <w:rsid w:val="00EC0CED"/>
    <w:rsid w:val="00EE56DC"/>
    <w:rsid w:val="00EF654E"/>
    <w:rsid w:val="00EF6A15"/>
    <w:rsid w:val="00EF72AE"/>
    <w:rsid w:val="00F33A80"/>
    <w:rsid w:val="00F540FB"/>
    <w:rsid w:val="00F54129"/>
    <w:rsid w:val="00F75050"/>
    <w:rsid w:val="00F76E60"/>
    <w:rsid w:val="00F809D3"/>
    <w:rsid w:val="00F81E83"/>
    <w:rsid w:val="00F8523C"/>
    <w:rsid w:val="00F85E21"/>
    <w:rsid w:val="00FA080E"/>
    <w:rsid w:val="00FA36B6"/>
    <w:rsid w:val="00FC0429"/>
    <w:rsid w:val="00FC2896"/>
    <w:rsid w:val="00FC3448"/>
    <w:rsid w:val="00FC5B7A"/>
    <w:rsid w:val="00FD3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City"/>
  <w:shapeDefaults>
    <o:shapedefaults v:ext="edit" spidmax="1039"/>
    <o:shapelayout v:ext="edit">
      <o:idmap v:ext="edit" data="1"/>
    </o:shapelayout>
  </w:shapeDefaults>
  <w:decimalSymbol w:val="."/>
  <w:listSeparator w:val=","/>
  <w14:docId w14:val="5DEFC948"/>
  <w15:docId w15:val="{2EC94E05-68B1-43A2-831C-DF540423F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67697"/>
  </w:style>
  <w:style w:type="paragraph" w:styleId="Heading1">
    <w:name w:val="heading 1"/>
    <w:basedOn w:val="Normal"/>
    <w:next w:val="Normal"/>
    <w:link w:val="Heading1Char"/>
    <w:qFormat/>
    <w:pPr>
      <w:keepNext/>
      <w:spacing w:after="120"/>
      <w:ind w:left="634"/>
      <w:outlineLvl w:val="0"/>
    </w:pPr>
    <w:rPr>
      <w:sz w:val="28"/>
    </w:rPr>
  </w:style>
  <w:style w:type="paragraph" w:styleId="Heading2">
    <w:name w:val="heading 2"/>
    <w:basedOn w:val="Normal"/>
    <w:next w:val="Normal"/>
    <w:link w:val="Heading2Char"/>
    <w:qFormat/>
    <w:pPr>
      <w:keepNext/>
      <w:ind w:left="630"/>
      <w:outlineLvl w:val="1"/>
    </w:pPr>
    <w:rPr>
      <w:i/>
      <w:sz w:val="23"/>
    </w:rPr>
  </w:style>
  <w:style w:type="paragraph" w:styleId="Heading3">
    <w:name w:val="heading 3"/>
    <w:basedOn w:val="Normal"/>
    <w:next w:val="Normal"/>
    <w:link w:val="Heading3Char"/>
    <w:qFormat/>
    <w:pPr>
      <w:keepNext/>
      <w:jc w:val="center"/>
      <w:outlineLvl w:val="2"/>
    </w:pPr>
    <w:rPr>
      <w:sz w:val="28"/>
    </w:rPr>
  </w:style>
  <w:style w:type="paragraph" w:styleId="Heading4">
    <w:name w:val="heading 4"/>
    <w:basedOn w:val="Normal"/>
    <w:next w:val="Normal"/>
    <w:link w:val="Heading4Char"/>
    <w:qFormat/>
    <w:pPr>
      <w:keepNext/>
      <w:jc w:val="center"/>
      <w:outlineLvl w:val="3"/>
    </w:pPr>
    <w:rPr>
      <w:b/>
      <w:sz w:val="22"/>
    </w:rPr>
  </w:style>
  <w:style w:type="paragraph" w:styleId="Heading5">
    <w:name w:val="heading 5"/>
    <w:basedOn w:val="Normal"/>
    <w:next w:val="Normal"/>
    <w:link w:val="Heading5Char"/>
    <w:qFormat/>
    <w:pPr>
      <w:keepNext/>
      <w:spacing w:after="120"/>
      <w:ind w:left="720"/>
      <w:outlineLvl w:val="4"/>
    </w:pPr>
    <w:rPr>
      <w:b/>
      <w:sz w:val="22"/>
    </w:rPr>
  </w:style>
  <w:style w:type="paragraph" w:styleId="Heading6">
    <w:name w:val="heading 6"/>
    <w:basedOn w:val="Normal"/>
    <w:next w:val="Normal"/>
    <w:link w:val="Heading6Char"/>
    <w:qFormat/>
    <w:pPr>
      <w:keepNext/>
      <w:jc w:val="center"/>
      <w:outlineLvl w:val="5"/>
    </w:pPr>
    <w:rPr>
      <w:b/>
      <w:sz w:val="24"/>
    </w:rPr>
  </w:style>
  <w:style w:type="paragraph" w:styleId="Heading7">
    <w:name w:val="heading 7"/>
    <w:basedOn w:val="Normal"/>
    <w:next w:val="Normal"/>
    <w:link w:val="Heading7Char"/>
    <w:qFormat/>
    <w:pPr>
      <w:keepNext/>
      <w:tabs>
        <w:tab w:val="right" w:pos="9648"/>
      </w:tabs>
      <w:spacing w:after="120" w:line="240" w:lineRule="exact"/>
      <w:ind w:left="630"/>
      <w:outlineLvl w:val="6"/>
    </w:pPr>
    <w:rPr>
      <w:b/>
      <w:sz w:val="22"/>
    </w:rPr>
  </w:style>
  <w:style w:type="paragraph" w:styleId="Heading8">
    <w:name w:val="heading 8"/>
    <w:basedOn w:val="Normal"/>
    <w:next w:val="Normal"/>
    <w:link w:val="Heading8Char"/>
    <w:qFormat/>
    <w:pPr>
      <w:keepNext/>
      <w:spacing w:after="120"/>
      <w:outlineLvl w:val="7"/>
    </w:pPr>
    <w:rPr>
      <w:b/>
      <w:caps/>
      <w:sz w:val="22"/>
    </w:rPr>
  </w:style>
  <w:style w:type="paragraph" w:styleId="Heading9">
    <w:name w:val="heading 9"/>
    <w:basedOn w:val="Normal"/>
    <w:next w:val="Normal"/>
    <w:link w:val="Heading9Char"/>
    <w:qFormat/>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A792F"/>
    <w:rPr>
      <w:sz w:val="28"/>
    </w:rPr>
  </w:style>
  <w:style w:type="character" w:customStyle="1" w:styleId="Heading2Char">
    <w:name w:val="Heading 2 Char"/>
    <w:basedOn w:val="DefaultParagraphFont"/>
    <w:link w:val="Heading2"/>
    <w:rsid w:val="007A792F"/>
    <w:rPr>
      <w:i/>
      <w:sz w:val="23"/>
    </w:rPr>
  </w:style>
  <w:style w:type="character" w:customStyle="1" w:styleId="Heading3Char">
    <w:name w:val="Heading 3 Char"/>
    <w:basedOn w:val="DefaultParagraphFont"/>
    <w:link w:val="Heading3"/>
    <w:rsid w:val="007A792F"/>
    <w:rPr>
      <w:sz w:val="28"/>
    </w:rPr>
  </w:style>
  <w:style w:type="character" w:customStyle="1" w:styleId="Heading4Char">
    <w:name w:val="Heading 4 Char"/>
    <w:basedOn w:val="DefaultParagraphFont"/>
    <w:link w:val="Heading4"/>
    <w:rsid w:val="007A792F"/>
    <w:rPr>
      <w:b/>
      <w:sz w:val="22"/>
    </w:rPr>
  </w:style>
  <w:style w:type="character" w:customStyle="1" w:styleId="Heading5Char">
    <w:name w:val="Heading 5 Char"/>
    <w:basedOn w:val="DefaultParagraphFont"/>
    <w:link w:val="Heading5"/>
    <w:rsid w:val="007A792F"/>
    <w:rPr>
      <w:b/>
      <w:sz w:val="22"/>
    </w:rPr>
  </w:style>
  <w:style w:type="character" w:customStyle="1" w:styleId="Heading6Char">
    <w:name w:val="Heading 6 Char"/>
    <w:basedOn w:val="DefaultParagraphFont"/>
    <w:link w:val="Heading6"/>
    <w:rsid w:val="007A792F"/>
    <w:rPr>
      <w:b/>
      <w:sz w:val="24"/>
    </w:rPr>
  </w:style>
  <w:style w:type="character" w:customStyle="1" w:styleId="Heading7Char">
    <w:name w:val="Heading 7 Char"/>
    <w:basedOn w:val="DefaultParagraphFont"/>
    <w:link w:val="Heading7"/>
    <w:rsid w:val="007A792F"/>
    <w:rPr>
      <w:b/>
      <w:sz w:val="22"/>
    </w:rPr>
  </w:style>
  <w:style w:type="character" w:customStyle="1" w:styleId="Heading8Char">
    <w:name w:val="Heading 8 Char"/>
    <w:basedOn w:val="DefaultParagraphFont"/>
    <w:link w:val="Heading8"/>
    <w:rsid w:val="007A792F"/>
    <w:rPr>
      <w:b/>
      <w:caps/>
      <w:sz w:val="22"/>
    </w:rPr>
  </w:style>
  <w:style w:type="character" w:customStyle="1" w:styleId="Heading9Char">
    <w:name w:val="Heading 9 Char"/>
    <w:basedOn w:val="DefaultParagraphFont"/>
    <w:link w:val="Heading9"/>
    <w:rsid w:val="007A792F"/>
    <w:rPr>
      <w:sz w:val="22"/>
      <w:u w:val="single"/>
    </w:rPr>
  </w:style>
  <w:style w:type="character" w:styleId="EndnoteReference">
    <w:name w:val="endnote reference"/>
    <w:basedOn w:val="DefaultParagraphFont"/>
    <w:semiHidden/>
    <w:rPr>
      <w:vertAlign w:val="superscript"/>
    </w:rPr>
  </w:style>
  <w:style w:type="paragraph" w:styleId="Header">
    <w:name w:val="header"/>
    <w:basedOn w:val="Normal"/>
    <w:link w:val="HeaderChar"/>
    <w:pPr>
      <w:tabs>
        <w:tab w:val="center" w:pos="4320"/>
        <w:tab w:val="right" w:pos="8640"/>
      </w:tabs>
    </w:pPr>
  </w:style>
  <w:style w:type="character" w:customStyle="1" w:styleId="HeaderChar">
    <w:name w:val="Header Char"/>
    <w:basedOn w:val="DefaultParagraphFont"/>
    <w:link w:val="Header"/>
    <w:rsid w:val="007A792F"/>
  </w:style>
  <w:style w:type="character" w:styleId="PageNumber">
    <w:name w:val="page number"/>
    <w:basedOn w:val="DefaultParagraphFont"/>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rsid w:val="007A792F"/>
  </w:style>
  <w:style w:type="paragraph" w:styleId="BodyTextIndent">
    <w:name w:val="Body Text Indent"/>
    <w:basedOn w:val="Normal"/>
    <w:link w:val="BodyTextIndentChar"/>
    <w:pPr>
      <w:spacing w:after="120"/>
      <w:ind w:left="634"/>
    </w:pPr>
    <w:rPr>
      <w:sz w:val="24"/>
    </w:rPr>
  </w:style>
  <w:style w:type="character" w:customStyle="1" w:styleId="BodyTextIndentChar">
    <w:name w:val="Body Text Indent Char"/>
    <w:basedOn w:val="DefaultParagraphFont"/>
    <w:link w:val="BodyTextIndent"/>
    <w:rsid w:val="007A792F"/>
    <w:rPr>
      <w:sz w:val="24"/>
    </w:rPr>
  </w:style>
  <w:style w:type="paragraph" w:styleId="BodyTextIndent2">
    <w:name w:val="Body Text Indent 2"/>
    <w:basedOn w:val="Normal"/>
    <w:link w:val="BodyTextIndent2Char"/>
    <w:pPr>
      <w:tabs>
        <w:tab w:val="left" w:pos="630"/>
      </w:tabs>
      <w:spacing w:after="120"/>
      <w:ind w:left="630"/>
    </w:pPr>
    <w:rPr>
      <w:sz w:val="24"/>
    </w:rPr>
  </w:style>
  <w:style w:type="character" w:customStyle="1" w:styleId="BodyTextIndent2Char">
    <w:name w:val="Body Text Indent 2 Char"/>
    <w:basedOn w:val="DefaultParagraphFont"/>
    <w:link w:val="BodyTextIndent2"/>
    <w:rsid w:val="007A792F"/>
    <w:rPr>
      <w:sz w:val="24"/>
    </w:rPr>
  </w:style>
  <w:style w:type="paragraph" w:styleId="BodyTextIndent3">
    <w:name w:val="Body Text Indent 3"/>
    <w:basedOn w:val="Normal"/>
    <w:link w:val="BodyTextIndent3Char"/>
    <w:pPr>
      <w:spacing w:before="240" w:after="120"/>
      <w:ind w:left="634"/>
      <w:jc w:val="center"/>
    </w:pPr>
    <w:rPr>
      <w:caps/>
      <w:sz w:val="24"/>
    </w:rPr>
  </w:style>
  <w:style w:type="character" w:customStyle="1" w:styleId="BodyTextIndent3Char">
    <w:name w:val="Body Text Indent 3 Char"/>
    <w:basedOn w:val="DefaultParagraphFont"/>
    <w:link w:val="BodyTextIndent3"/>
    <w:rsid w:val="007A792F"/>
    <w:rPr>
      <w:caps/>
      <w:sz w:val="24"/>
    </w:rPr>
  </w:style>
  <w:style w:type="paragraph" w:styleId="BodyText2">
    <w:name w:val="Body Text 2"/>
    <w:basedOn w:val="Normal"/>
    <w:link w:val="BodyText2Char"/>
    <w:uiPriority w:val="99"/>
    <w:pPr>
      <w:numPr>
        <w:ilvl w:val="12"/>
      </w:numPr>
      <w:spacing w:after="120"/>
      <w:jc w:val="both"/>
    </w:pPr>
    <w:rPr>
      <w:sz w:val="22"/>
    </w:rPr>
  </w:style>
  <w:style w:type="character" w:customStyle="1" w:styleId="BodyText2Char">
    <w:name w:val="Body Text 2 Char"/>
    <w:basedOn w:val="DefaultParagraphFont"/>
    <w:link w:val="BodyText2"/>
    <w:uiPriority w:val="99"/>
    <w:rsid w:val="00246E13"/>
    <w:rPr>
      <w:sz w:val="22"/>
    </w:rPr>
  </w:style>
  <w:style w:type="paragraph" w:styleId="Title">
    <w:name w:val="Title"/>
    <w:basedOn w:val="Normal"/>
    <w:link w:val="TitleChar"/>
    <w:qFormat/>
    <w:pPr>
      <w:jc w:val="center"/>
    </w:pPr>
    <w:rPr>
      <w:b/>
      <w:sz w:val="24"/>
    </w:rPr>
  </w:style>
  <w:style w:type="character" w:customStyle="1" w:styleId="TitleChar">
    <w:name w:val="Title Char"/>
    <w:basedOn w:val="DefaultParagraphFont"/>
    <w:link w:val="Title"/>
    <w:rsid w:val="007A792F"/>
    <w:rPr>
      <w:b/>
      <w:sz w:val="24"/>
    </w:rPr>
  </w:style>
  <w:style w:type="paragraph" w:styleId="BodyText">
    <w:name w:val="Body Text"/>
    <w:aliases w:val="SCA Body Text,SCA Body Text1,SCA Body Text2,SCA Body Text11,BodyText-JEA,BT-JEA"/>
    <w:basedOn w:val="Normal"/>
    <w:link w:val="BodyTextChar"/>
    <w:pPr>
      <w:spacing w:after="120"/>
    </w:pPr>
    <w:rPr>
      <w:sz w:val="24"/>
    </w:rPr>
  </w:style>
  <w:style w:type="character" w:customStyle="1" w:styleId="BodyTextChar">
    <w:name w:val="Body Text Char"/>
    <w:aliases w:val="SCA Body Text Char,SCA Body Text1 Char,SCA Body Text2 Char,SCA Body Text11 Char,BodyText-JEA Char,BT-JEA Char"/>
    <w:basedOn w:val="DefaultParagraphFont"/>
    <w:link w:val="BodyText"/>
    <w:rsid w:val="00F81E83"/>
    <w:rPr>
      <w:sz w:val="24"/>
    </w:rPr>
  </w:style>
  <w:style w:type="paragraph" w:styleId="BodyText3">
    <w:name w:val="Body Text 3"/>
    <w:basedOn w:val="Normal"/>
    <w:link w:val="BodyText3Char"/>
    <w:uiPriority w:val="99"/>
    <w:pPr>
      <w:spacing w:before="120" w:after="120"/>
    </w:pPr>
    <w:rPr>
      <w:sz w:val="22"/>
    </w:rPr>
  </w:style>
  <w:style w:type="character" w:customStyle="1" w:styleId="BodyText3Char">
    <w:name w:val="Body Text 3 Char"/>
    <w:basedOn w:val="DefaultParagraphFont"/>
    <w:link w:val="BodyText3"/>
    <w:uiPriority w:val="99"/>
    <w:rsid w:val="00824E76"/>
    <w:rPr>
      <w:sz w:val="22"/>
    </w:rPr>
  </w:style>
  <w:style w:type="paragraph" w:customStyle="1" w:styleId="Style4">
    <w:name w:val="Style4"/>
    <w:next w:val="Normal"/>
    <w:rPr>
      <w:noProof/>
      <w:sz w:val="24"/>
    </w:rPr>
  </w:style>
  <w:style w:type="paragraph" w:styleId="BlockText">
    <w:name w:val="Block Text"/>
    <w:basedOn w:val="Normal"/>
    <w:pPr>
      <w:spacing w:after="120"/>
      <w:ind w:left="720" w:right="43"/>
      <w:jc w:val="both"/>
    </w:pPr>
    <w:rPr>
      <w:sz w:val="22"/>
    </w:rPr>
  </w:style>
  <w:style w:type="character" w:styleId="Hyperlink">
    <w:name w:val="Hyperlink"/>
    <w:basedOn w:val="DefaultParagraphFont"/>
    <w:uiPriority w:val="99"/>
    <w:rPr>
      <w:color w:val="0000FF"/>
      <w:u w:val="single"/>
    </w:rPr>
  </w:style>
  <w:style w:type="paragraph" w:customStyle="1" w:styleId="SCATableHeading">
    <w:name w:val="SCA Table Heading"/>
    <w:basedOn w:val="Normal"/>
    <w:pPr>
      <w:jc w:val="center"/>
    </w:pPr>
    <w:rPr>
      <w:b/>
      <w:caps/>
    </w:rPr>
  </w:style>
  <w:style w:type="paragraph" w:styleId="Caption">
    <w:name w:val="caption"/>
    <w:basedOn w:val="Normal"/>
    <w:next w:val="Normal"/>
    <w:qFormat/>
    <w:rsid w:val="00746205"/>
    <w:pPr>
      <w:spacing w:before="360" w:after="120"/>
    </w:pPr>
    <w:rPr>
      <w:b/>
      <w:caps/>
      <w:sz w:val="22"/>
    </w:rPr>
  </w:style>
  <w:style w:type="paragraph" w:styleId="BalloonText">
    <w:name w:val="Balloon Text"/>
    <w:basedOn w:val="Normal"/>
    <w:link w:val="BalloonTextChar"/>
    <w:semiHidden/>
    <w:rsid w:val="00746205"/>
    <w:rPr>
      <w:rFonts w:ascii="Tahoma" w:hAnsi="Tahoma" w:cs="Tahoma"/>
      <w:sz w:val="16"/>
      <w:szCs w:val="16"/>
    </w:rPr>
  </w:style>
  <w:style w:type="character" w:customStyle="1" w:styleId="BalloonTextChar">
    <w:name w:val="Balloon Text Char"/>
    <w:basedOn w:val="DefaultParagraphFont"/>
    <w:link w:val="BalloonText"/>
    <w:semiHidden/>
    <w:rsid w:val="007A792F"/>
    <w:rPr>
      <w:rFonts w:ascii="Tahoma" w:hAnsi="Tahoma" w:cs="Tahoma"/>
      <w:sz w:val="16"/>
      <w:szCs w:val="16"/>
    </w:rPr>
  </w:style>
  <w:style w:type="table" w:styleId="TableGrid">
    <w:name w:val="Table Grid"/>
    <w:basedOn w:val="TableNormal"/>
    <w:uiPriority w:val="59"/>
    <w:rsid w:val="00DC7C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E3095"/>
    <w:pPr>
      <w:autoSpaceDE w:val="0"/>
      <w:autoSpaceDN w:val="0"/>
      <w:adjustRightInd w:val="0"/>
    </w:pPr>
    <w:rPr>
      <w:color w:val="000000"/>
      <w:sz w:val="24"/>
      <w:szCs w:val="24"/>
    </w:rPr>
  </w:style>
  <w:style w:type="paragraph" w:styleId="ListParagraph">
    <w:name w:val="List Paragraph"/>
    <w:basedOn w:val="Normal"/>
    <w:qFormat/>
    <w:rsid w:val="00E90AE3"/>
    <w:pPr>
      <w:ind w:left="720"/>
      <w:contextualSpacing/>
    </w:pPr>
  </w:style>
  <w:style w:type="paragraph" w:styleId="FootnoteText">
    <w:name w:val="footnote text"/>
    <w:basedOn w:val="Normal"/>
    <w:link w:val="FootnoteTextChar"/>
    <w:uiPriority w:val="99"/>
    <w:unhideWhenUsed/>
    <w:rsid w:val="00334001"/>
  </w:style>
  <w:style w:type="character" w:customStyle="1" w:styleId="FootnoteTextChar">
    <w:name w:val="Footnote Text Char"/>
    <w:basedOn w:val="DefaultParagraphFont"/>
    <w:link w:val="FootnoteText"/>
    <w:uiPriority w:val="99"/>
    <w:rsid w:val="00334001"/>
  </w:style>
  <w:style w:type="character" w:styleId="FootnoteReference">
    <w:name w:val="footnote reference"/>
    <w:basedOn w:val="DefaultParagraphFont"/>
    <w:uiPriority w:val="99"/>
    <w:unhideWhenUsed/>
    <w:rsid w:val="00334001"/>
    <w:rPr>
      <w:vertAlign w:val="superscript"/>
    </w:rPr>
  </w:style>
  <w:style w:type="character" w:styleId="Mention">
    <w:name w:val="Mention"/>
    <w:basedOn w:val="DefaultParagraphFont"/>
    <w:uiPriority w:val="99"/>
    <w:semiHidden/>
    <w:unhideWhenUsed/>
    <w:rsid w:val="0012264F"/>
    <w:rPr>
      <w:color w:val="2B579A"/>
      <w:shd w:val="clear" w:color="auto" w:fill="E6E6E6"/>
    </w:rPr>
  </w:style>
  <w:style w:type="character" w:styleId="FollowedHyperlink">
    <w:name w:val="FollowedHyperlink"/>
    <w:basedOn w:val="DefaultParagraphFont"/>
    <w:semiHidden/>
    <w:unhideWhenUsed/>
    <w:rsid w:val="0012264F"/>
    <w:rPr>
      <w:color w:val="800080" w:themeColor="followedHyperlink"/>
      <w:u w:val="single"/>
    </w:rPr>
  </w:style>
  <w:style w:type="character" w:styleId="PlaceholderText">
    <w:name w:val="Placeholder Text"/>
    <w:basedOn w:val="DefaultParagraphFont"/>
    <w:uiPriority w:val="99"/>
    <w:semiHidden/>
    <w:rsid w:val="00F76E60"/>
    <w:rPr>
      <w:color w:val="808080"/>
    </w:rPr>
  </w:style>
  <w:style w:type="character" w:customStyle="1" w:styleId="CommentTextChar">
    <w:name w:val="Comment Text Char"/>
    <w:basedOn w:val="DefaultParagraphFont"/>
    <w:link w:val="CommentText"/>
    <w:semiHidden/>
    <w:rsid w:val="007A792F"/>
  </w:style>
  <w:style w:type="paragraph" w:styleId="CommentText">
    <w:name w:val="annotation text"/>
    <w:basedOn w:val="Normal"/>
    <w:link w:val="CommentTextChar"/>
    <w:semiHidden/>
    <w:unhideWhenUsed/>
    <w:rsid w:val="007A792F"/>
  </w:style>
  <w:style w:type="character" w:customStyle="1" w:styleId="CommentSubjectChar">
    <w:name w:val="Comment Subject Char"/>
    <w:basedOn w:val="CommentTextChar"/>
    <w:link w:val="CommentSubject"/>
    <w:semiHidden/>
    <w:rsid w:val="007A792F"/>
    <w:rPr>
      <w:b/>
      <w:bCs/>
    </w:rPr>
  </w:style>
  <w:style w:type="paragraph" w:styleId="CommentSubject">
    <w:name w:val="annotation subject"/>
    <w:basedOn w:val="CommentText"/>
    <w:next w:val="CommentText"/>
    <w:link w:val="CommentSubjectChar"/>
    <w:semiHidden/>
    <w:unhideWhenUsed/>
    <w:rsid w:val="007A792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9.wmf"/><Relationship Id="rId26" Type="http://schemas.openxmlformats.org/officeDocument/2006/relationships/image" Target="media/image13.wmf"/><Relationship Id="rId39" Type="http://schemas.openxmlformats.org/officeDocument/2006/relationships/oleObject" Target="embeddings/oleObject11.bin"/><Relationship Id="rId21" Type="http://schemas.openxmlformats.org/officeDocument/2006/relationships/oleObject" Target="embeddings/oleObject3.bin"/><Relationship Id="rId34" Type="http://schemas.openxmlformats.org/officeDocument/2006/relationships/image" Target="media/image17.png"/><Relationship Id="rId42" Type="http://schemas.openxmlformats.org/officeDocument/2006/relationships/image" Target="media/image22.wmf"/><Relationship Id="rId47" Type="http://schemas.openxmlformats.org/officeDocument/2006/relationships/hyperlink" Target="http://www.nrg.com/generation/projects/petra-nova/" TargetMode="External"/><Relationship Id="rId50" Type="http://schemas.openxmlformats.org/officeDocument/2006/relationships/image" Target="media/image26.png"/><Relationship Id="rId55" Type="http://schemas.openxmlformats.org/officeDocument/2006/relationships/hyperlink" Target="mailto:John.Dawson@dep.state.fl.us"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0.wmf"/><Relationship Id="rId29" Type="http://schemas.openxmlformats.org/officeDocument/2006/relationships/oleObject" Target="embeddings/oleObject7.bin"/><Relationship Id="rId41" Type="http://schemas.openxmlformats.org/officeDocument/2006/relationships/oleObject" Target="embeddings/oleObject12.bin"/><Relationship Id="rId54"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2.wmf"/><Relationship Id="rId32" Type="http://schemas.openxmlformats.org/officeDocument/2006/relationships/image" Target="media/image16.wmf"/><Relationship Id="rId37" Type="http://schemas.openxmlformats.org/officeDocument/2006/relationships/oleObject" Target="embeddings/oleObject10.bin"/><Relationship Id="rId40" Type="http://schemas.openxmlformats.org/officeDocument/2006/relationships/image" Target="media/image21.wmf"/><Relationship Id="rId45" Type="http://schemas.openxmlformats.org/officeDocument/2006/relationships/hyperlink" Target="http://www.mississippipower.com/about-energy/plants/kemper-county-energy-facility/" TargetMode="External"/><Relationship Id="rId53" Type="http://schemas.openxmlformats.org/officeDocument/2006/relationships/image" Target="media/image29.png"/><Relationship Id="rId58"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4.bin"/><Relationship Id="rId28" Type="http://schemas.openxmlformats.org/officeDocument/2006/relationships/image" Target="media/image14.wmf"/><Relationship Id="rId36" Type="http://schemas.openxmlformats.org/officeDocument/2006/relationships/image" Target="media/image19.wmf"/><Relationship Id="rId49" Type="http://schemas.openxmlformats.org/officeDocument/2006/relationships/image" Target="media/image25.jpeg"/><Relationship Id="rId57" Type="http://schemas.openxmlformats.org/officeDocument/2006/relationships/footer" Target="footer1.xml"/><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3.png"/><Relationship Id="rId52" Type="http://schemas.openxmlformats.org/officeDocument/2006/relationships/image" Target="media/image28.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upload.wikimedia.org/wikipedia/commons/f/ff/Map_of_Florida_highlighting_Highlands_County.svg" TargetMode="External"/><Relationship Id="rId14" Type="http://schemas.openxmlformats.org/officeDocument/2006/relationships/image" Target="media/image6.emf"/><Relationship Id="rId22" Type="http://schemas.openxmlformats.org/officeDocument/2006/relationships/image" Target="media/image11.wmf"/><Relationship Id="rId27" Type="http://schemas.openxmlformats.org/officeDocument/2006/relationships/oleObject" Target="embeddings/oleObject6.bin"/><Relationship Id="rId30" Type="http://schemas.openxmlformats.org/officeDocument/2006/relationships/image" Target="media/image15.wmf"/><Relationship Id="rId35" Type="http://schemas.openxmlformats.org/officeDocument/2006/relationships/image" Target="media/image18.emf"/><Relationship Id="rId43" Type="http://schemas.openxmlformats.org/officeDocument/2006/relationships/oleObject" Target="embeddings/oleObject13.bin"/><Relationship Id="rId48" Type="http://schemas.openxmlformats.org/officeDocument/2006/relationships/image" Target="media/image24.jpeg"/><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27.jp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20.wmf"/><Relationship Id="rId46" Type="http://schemas.openxmlformats.org/officeDocument/2006/relationships/hyperlink" Target="http://www.saskpower.com/our-power-future/carbon-capture-and-storage/boundary-dam-carbon-capture-project/" TargetMode="External"/><Relationship Id="rId59" Type="http://schemas.openxmlformats.org/officeDocument/2006/relationships/footer" Target="footer2.xml"/></Relationships>
</file>

<file path=word/_rels/footnotes.xml.rels><?xml version="1.0" encoding="UTF-8" standalone="yes"?>
<Relationships xmlns="http://schemas.openxmlformats.org/package/2006/relationships"><Relationship Id="rId8" Type="http://schemas.openxmlformats.org/officeDocument/2006/relationships/hyperlink" Target="http://www.ipcc.ch/meetings/session25/doc4a4b/vol4.pdf" TargetMode="External"/><Relationship Id="rId3" Type="http://schemas.openxmlformats.org/officeDocument/2006/relationships/hyperlink" Target="https://arm-permit2k.dep.state.fl.us/nontv/0550063.001.AC.F.ZIP" TargetMode="External"/><Relationship Id="rId7" Type="http://schemas.openxmlformats.org/officeDocument/2006/relationships/hyperlink" Target="http://vista.cira.colostate.edu/improve/Default.htm" TargetMode="External"/><Relationship Id="rId12" Type="http://schemas.openxmlformats.org/officeDocument/2006/relationships/hyperlink" Target="https://www.epa.gov/sites/production/files/2016-08/documents/pm2_5_sils_and_ozone_draft_guidance.pdf" TargetMode="External"/><Relationship Id="rId2" Type="http://schemas.openxmlformats.org/officeDocument/2006/relationships/hyperlink" Target="https://arm-permit2k.dep.state.fl.us/nontv/0550063.001.AC.D.ZIP" TargetMode="External"/><Relationship Id="rId1" Type="http://schemas.openxmlformats.org/officeDocument/2006/relationships/hyperlink" Target="https://depedms.dep.state.fl.us:443/Oculus/servlet/shell?command=getEntity&amp;%5bguid=75.131476.1%5d&amp;%5bprofile=Permitting_Authorization%5d" TargetMode="External"/><Relationship Id="rId6" Type="http://schemas.openxmlformats.org/officeDocument/2006/relationships/hyperlink" Target="https://arm-permit2k.dep.state.fl.us/nontv/0530380.010.AC.D.ZIP" TargetMode="External"/><Relationship Id="rId11" Type="http://schemas.openxmlformats.org/officeDocument/2006/relationships/hyperlink" Target="https://arm-permit2k.dep.state.fl.us/nontv/0550063.001.AC.D.ZIP" TargetMode="External"/><Relationship Id="rId5" Type="http://schemas.openxmlformats.org/officeDocument/2006/relationships/hyperlink" Target="https://depedms.dep.state.fl.us:443/Oculus/servlet/shell?command=getEntity&amp;%5bguid=75.137221.1%5d&amp;%5bprofile=Permitting_Authorization%5d" TargetMode="External"/><Relationship Id="rId10" Type="http://schemas.openxmlformats.org/officeDocument/2006/relationships/hyperlink" Target="http://pubs.usgs.gov/of/2012/1024/l/ofr20121024l.pdf" TargetMode="External"/><Relationship Id="rId4" Type="http://schemas.openxmlformats.org/officeDocument/2006/relationships/hyperlink" Target="https://depedms.dep.state.fl.us:443/Oculus/servlet/shell?command=getEntity&amp;%5bguid=75.132876.1%5d&amp;%5bprofile=Permitting_Authorization%5d" TargetMode="External"/><Relationship Id="rId9" Type="http://schemas.openxmlformats.org/officeDocument/2006/relationships/hyperlink" Target="https://yosemite.epa.gov/sab/sabproduct.nsf/0/3235DAC747C16FE985257DA90053F252/$File/Framework-for-Assessing-Biogenic-CO2-Emissions+(Nov+2014).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CBB09F-3BE1-45C8-BFDD-B5BC01C1A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450</TotalTime>
  <Pages>45</Pages>
  <Words>21243</Words>
  <Characters>116772</Characters>
  <Application>Microsoft Office Word</Application>
  <DocSecurity>0</DocSecurity>
  <Lines>973</Lines>
  <Paragraphs>275</Paragraphs>
  <ScaleCrop>false</ScaleCrop>
  <HeadingPairs>
    <vt:vector size="2" baseType="variant">
      <vt:variant>
        <vt:lpstr>Title</vt:lpstr>
      </vt:variant>
      <vt:variant>
        <vt:i4>1</vt:i4>
      </vt:variant>
    </vt:vector>
  </HeadingPairs>
  <TitlesOfParts>
    <vt:vector size="1" baseType="lpstr">
      <vt:lpstr>Technical Evaluation &amp; Prelimnary Determination</vt:lpstr>
    </vt:vector>
  </TitlesOfParts>
  <Manager>Trina Vielhauer</Manager>
  <Company>FDEP/DARM/BAR</Company>
  <LinksUpToDate>false</LinksUpToDate>
  <CharactersWithSpaces>137740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Prelimnary Determination</dc:title>
  <dc:subject>Draft Permit</dc:subject>
  <dc:creator>Jeff Koerner</dc:creator>
  <cp:keywords/>
  <cp:lastModifiedBy>Read, David</cp:lastModifiedBy>
  <cp:revision>23</cp:revision>
  <cp:lastPrinted>2007-05-20T12:07:00Z</cp:lastPrinted>
  <dcterms:created xsi:type="dcterms:W3CDTF">2017-06-20T17:48:00Z</dcterms:created>
  <dcterms:modified xsi:type="dcterms:W3CDTF">2017-07-12T17:23:00Z</dcterms:modified>
</cp:coreProperties>
</file>